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5B" w:rsidRDefault="006B6B5B" w:rsidP="006B6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0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203835</wp:posOffset>
            </wp:positionV>
            <wp:extent cx="429895" cy="501015"/>
            <wp:effectExtent l="19050" t="0" r="825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0101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B6B5B" w:rsidRDefault="006B6B5B" w:rsidP="006B6B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noProof/>
          <w:szCs w:val="28"/>
          <w:lang w:val="uk-UA"/>
        </w:rPr>
      </w:pPr>
    </w:p>
    <w:p w:rsidR="006B6B5B" w:rsidRPr="006B6B5B" w:rsidRDefault="006B6B5B" w:rsidP="006B6B5B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pacing w:val="78"/>
          <w:kern w:val="32"/>
          <w:sz w:val="24"/>
          <w:szCs w:val="24"/>
        </w:rPr>
      </w:pPr>
      <w:r w:rsidRPr="006B6B5B">
        <w:rPr>
          <w:bCs/>
          <w:spacing w:val="78"/>
          <w:kern w:val="32"/>
          <w:sz w:val="24"/>
          <w:szCs w:val="24"/>
        </w:rPr>
        <w:t>УКРАЇНА</w:t>
      </w:r>
    </w:p>
    <w:p w:rsidR="006B6B5B" w:rsidRPr="006B6B5B" w:rsidRDefault="006B6B5B" w:rsidP="006B6B5B">
      <w:pPr>
        <w:widowControl w:val="0"/>
        <w:autoSpaceDE w:val="0"/>
        <w:autoSpaceDN w:val="0"/>
        <w:adjustRightInd w:val="0"/>
        <w:snapToGrid w:val="0"/>
        <w:jc w:val="center"/>
        <w:rPr>
          <w:color w:val="000000"/>
          <w:sz w:val="24"/>
          <w:szCs w:val="24"/>
          <w:lang w:val="uk-UA"/>
        </w:rPr>
      </w:pPr>
      <w:r w:rsidRPr="006B6B5B">
        <w:rPr>
          <w:color w:val="000000"/>
          <w:sz w:val="24"/>
          <w:szCs w:val="24"/>
        </w:rPr>
        <w:t>БОРОМЛЯНСЬКА СІЛЬСЬКА РАДА</w:t>
      </w:r>
    </w:p>
    <w:p w:rsidR="006B6B5B" w:rsidRDefault="006B6B5B" w:rsidP="006B6B5B">
      <w:pPr>
        <w:widowControl w:val="0"/>
        <w:autoSpaceDE w:val="0"/>
        <w:autoSpaceDN w:val="0"/>
        <w:adjustRightInd w:val="0"/>
        <w:snapToGrid w:val="0"/>
        <w:jc w:val="center"/>
        <w:rPr>
          <w:b/>
          <w:color w:val="000000"/>
          <w:sz w:val="24"/>
          <w:szCs w:val="24"/>
          <w:lang w:val="uk-UA"/>
        </w:rPr>
      </w:pPr>
      <w:r w:rsidRPr="006B6B5B">
        <w:rPr>
          <w:color w:val="000000"/>
          <w:sz w:val="24"/>
          <w:szCs w:val="24"/>
          <w:lang w:val="uk-UA"/>
        </w:rPr>
        <w:t>СУМСЬКОЇ ОБЛАСТІ</w:t>
      </w:r>
    </w:p>
    <w:p w:rsidR="006B6B5B" w:rsidRDefault="006B6B5B" w:rsidP="006B6B5B">
      <w:pPr>
        <w:keepNext/>
        <w:widowControl w:val="0"/>
        <w:autoSpaceDE w:val="0"/>
        <w:autoSpaceDN w:val="0"/>
        <w:adjustRightInd w:val="0"/>
        <w:spacing w:after="60"/>
        <w:jc w:val="center"/>
        <w:outlineLvl w:val="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ВІДДІЛ ОСВІТИ</w:t>
      </w:r>
    </w:p>
    <w:p w:rsidR="006B6B5B" w:rsidRDefault="006B6B5B" w:rsidP="006B6B5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 А К А З</w:t>
      </w:r>
    </w:p>
    <w:p w:rsidR="006B6B5B" w:rsidRDefault="006B6B5B" w:rsidP="006B6B5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</w:p>
    <w:p w:rsidR="006B6B5B" w:rsidRPr="008F266C" w:rsidRDefault="008F266C" w:rsidP="006B6B5B">
      <w:pPr>
        <w:jc w:val="both"/>
        <w:rPr>
          <w:sz w:val="28"/>
          <w:szCs w:val="28"/>
          <w:lang w:val="uk-UA"/>
        </w:rPr>
      </w:pPr>
      <w:r w:rsidRPr="008F266C">
        <w:rPr>
          <w:sz w:val="28"/>
          <w:szCs w:val="28"/>
          <w:lang w:val="uk-UA"/>
        </w:rPr>
        <w:t>26</w:t>
      </w:r>
      <w:r w:rsidR="006B6B5B" w:rsidRPr="008F266C">
        <w:rPr>
          <w:sz w:val="28"/>
          <w:szCs w:val="28"/>
          <w:lang w:val="uk-UA"/>
        </w:rPr>
        <w:t xml:space="preserve">.05.2021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6B6B5B" w:rsidRPr="008F266C">
        <w:rPr>
          <w:sz w:val="28"/>
          <w:szCs w:val="28"/>
          <w:lang w:val="uk-UA"/>
        </w:rPr>
        <w:t>№ 4</w:t>
      </w:r>
      <w:bookmarkStart w:id="0" w:name="_GoBack"/>
      <w:bookmarkEnd w:id="0"/>
      <w:r w:rsidRPr="008F266C">
        <w:rPr>
          <w:sz w:val="28"/>
          <w:szCs w:val="28"/>
          <w:lang w:val="uk-UA"/>
        </w:rPr>
        <w:t>3</w:t>
      </w:r>
      <w:r w:rsidR="006B6B5B" w:rsidRPr="008F266C">
        <w:rPr>
          <w:sz w:val="28"/>
          <w:szCs w:val="28"/>
          <w:lang w:val="uk-UA"/>
        </w:rPr>
        <w:t>-ОД</w:t>
      </w:r>
    </w:p>
    <w:p w:rsidR="006B6B5B" w:rsidRPr="008F266C" w:rsidRDefault="006B6B5B" w:rsidP="006B6B5B">
      <w:pPr>
        <w:jc w:val="center"/>
        <w:rPr>
          <w:sz w:val="28"/>
          <w:szCs w:val="28"/>
          <w:u w:val="single"/>
          <w:lang w:val="uk-UA"/>
        </w:rPr>
      </w:pPr>
    </w:p>
    <w:tbl>
      <w:tblPr>
        <w:tblW w:w="0" w:type="auto"/>
        <w:tblLook w:val="01E0"/>
      </w:tblPr>
      <w:tblGrid>
        <w:gridCol w:w="4644"/>
      </w:tblGrid>
      <w:tr w:rsidR="006B6B5B" w:rsidRPr="008F266C" w:rsidTr="006B6B5B">
        <w:tc>
          <w:tcPr>
            <w:tcW w:w="4644" w:type="dxa"/>
            <w:hideMark/>
          </w:tcPr>
          <w:p w:rsidR="006B6B5B" w:rsidRPr="008F266C" w:rsidRDefault="006B6B5B" w:rsidP="008F266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F266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8F266C" w:rsidRPr="008F266C">
              <w:rPr>
                <w:b/>
                <w:sz w:val="28"/>
                <w:szCs w:val="28"/>
                <w:lang w:val="uk-UA"/>
              </w:rPr>
              <w:t>відзначення Дня Державного Прапора України та 30-ї річниці незалежності України</w:t>
            </w:r>
          </w:p>
        </w:tc>
      </w:tr>
    </w:tbl>
    <w:p w:rsidR="006B6B5B" w:rsidRDefault="006B6B5B" w:rsidP="006B6B5B">
      <w:pPr>
        <w:rPr>
          <w:sz w:val="24"/>
          <w:szCs w:val="24"/>
          <w:lang w:val="uk-UA"/>
        </w:rPr>
      </w:pPr>
    </w:p>
    <w:p w:rsidR="008F266C" w:rsidRPr="00832B4B" w:rsidRDefault="008F266C" w:rsidP="008F266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наказу Департаменту освіти і науки Сумської обласної державної адміністрації від 21.05.2021 № 281-ОД «</w:t>
      </w:r>
      <w:r w:rsidRPr="008F266C">
        <w:rPr>
          <w:sz w:val="28"/>
          <w:szCs w:val="28"/>
          <w:lang w:val="uk-UA"/>
        </w:rPr>
        <w:t>Про відзначення Дня Державного Прапора України та 30-ї річниці незалежності України</w:t>
      </w:r>
      <w:r>
        <w:rPr>
          <w:sz w:val="28"/>
          <w:szCs w:val="28"/>
          <w:lang w:val="uk-UA"/>
        </w:rPr>
        <w:t>», з</w:t>
      </w:r>
      <w:r w:rsidRPr="008B6E3F">
        <w:rPr>
          <w:sz w:val="28"/>
          <w:szCs w:val="28"/>
          <w:lang w:val="uk-UA"/>
        </w:rPr>
        <w:t xml:space="preserve"> метою </w:t>
      </w:r>
      <w:r w:rsidRPr="00832B4B">
        <w:rPr>
          <w:sz w:val="28"/>
          <w:szCs w:val="28"/>
          <w:shd w:val="clear" w:color="auto" w:fill="FFFFFF"/>
          <w:lang w:val="uk-UA"/>
        </w:rPr>
        <w:t>гідного відзначення у 2021 році 30-ї річниці незалежності України та Дня Державного Прапора України, засвідчення поваги до подвигу борців за свободу, незалежність і територіальну цілісність, єднання суспільства у справі розбудови України як високорозвиненої європейської держави</w:t>
      </w:r>
    </w:p>
    <w:p w:rsidR="008F266C" w:rsidRDefault="008F266C" w:rsidP="008F266C">
      <w:pPr>
        <w:jc w:val="both"/>
        <w:rPr>
          <w:b/>
          <w:sz w:val="28"/>
          <w:szCs w:val="28"/>
          <w:lang w:val="uk-UA"/>
        </w:rPr>
      </w:pPr>
    </w:p>
    <w:p w:rsidR="008F266C" w:rsidRDefault="008F266C" w:rsidP="008F266C">
      <w:pPr>
        <w:jc w:val="both"/>
        <w:rPr>
          <w:sz w:val="28"/>
          <w:szCs w:val="28"/>
          <w:lang w:val="uk-UA"/>
        </w:rPr>
      </w:pPr>
      <w:r w:rsidRPr="008F266C">
        <w:rPr>
          <w:sz w:val="28"/>
          <w:szCs w:val="28"/>
          <w:lang w:val="uk-UA"/>
        </w:rPr>
        <w:t>НАКАЗУЮ:</w:t>
      </w:r>
    </w:p>
    <w:p w:rsidR="008F266C" w:rsidRPr="008F266C" w:rsidRDefault="008F266C" w:rsidP="008F266C">
      <w:pPr>
        <w:jc w:val="both"/>
        <w:rPr>
          <w:sz w:val="28"/>
          <w:szCs w:val="28"/>
          <w:lang w:val="uk-UA"/>
        </w:rPr>
      </w:pPr>
    </w:p>
    <w:p w:rsidR="008F266C" w:rsidRDefault="008F266C" w:rsidP="008F266C">
      <w:pPr>
        <w:pStyle w:val="a5"/>
        <w:numPr>
          <w:ilvl w:val="0"/>
          <w:numId w:val="6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Керівникам закладів освіти </w:t>
      </w:r>
      <w:proofErr w:type="spellStart"/>
      <w:r>
        <w:rPr>
          <w:sz w:val="28"/>
          <w:szCs w:val="28"/>
        </w:rPr>
        <w:t>Боромлянської</w:t>
      </w:r>
      <w:proofErr w:type="spellEnd"/>
      <w:r>
        <w:rPr>
          <w:sz w:val="28"/>
          <w:szCs w:val="28"/>
        </w:rPr>
        <w:t xml:space="preserve"> сільської ради:</w:t>
      </w:r>
    </w:p>
    <w:p w:rsidR="008F266C" w:rsidRDefault="008F266C" w:rsidP="008F266C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1) Забезпечити виконання</w:t>
      </w:r>
      <w:r w:rsidRPr="008F266C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8F266C">
        <w:rPr>
          <w:sz w:val="28"/>
          <w:szCs w:val="28"/>
        </w:rPr>
        <w:t xml:space="preserve"> заходів з </w:t>
      </w:r>
      <w:r w:rsidRPr="008F266C">
        <w:rPr>
          <w:sz w:val="28"/>
          <w:szCs w:val="28"/>
          <w:shd w:val="clear" w:color="auto" w:fill="FFFFFF"/>
        </w:rPr>
        <w:t>відзначення у 2021 році 30-ї річниці незалежності України та Дня Державного Прапора України</w:t>
      </w:r>
      <w:r w:rsidRPr="008F266C">
        <w:rPr>
          <w:sz w:val="28"/>
          <w:szCs w:val="28"/>
        </w:rPr>
        <w:t xml:space="preserve"> (додається).</w:t>
      </w:r>
    </w:p>
    <w:p w:rsidR="008F266C" w:rsidRPr="00A55833" w:rsidRDefault="008F266C" w:rsidP="008F266C">
      <w:pPr>
        <w:pStyle w:val="a5"/>
        <w:ind w:left="709"/>
        <w:jc w:val="both"/>
        <w:rPr>
          <w:sz w:val="28"/>
          <w:szCs w:val="28"/>
        </w:rPr>
      </w:pPr>
      <w:r w:rsidRPr="00A55833">
        <w:rPr>
          <w:sz w:val="28"/>
          <w:szCs w:val="28"/>
        </w:rPr>
        <w:t xml:space="preserve">2) </w:t>
      </w:r>
      <w:r w:rsidRPr="00A55833">
        <w:rPr>
          <w:sz w:val="28"/>
          <w:szCs w:val="28"/>
          <w:lang w:eastAsia="uk-UA"/>
        </w:rPr>
        <w:t>Інформацію про хід виконання Плану заходів подати відділу освіти до 23.08.2021.</w:t>
      </w:r>
    </w:p>
    <w:p w:rsidR="00A55833" w:rsidRPr="00A55833" w:rsidRDefault="00A55833" w:rsidP="00A55833">
      <w:pPr>
        <w:pStyle w:val="a5"/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A55833">
        <w:rPr>
          <w:color w:val="000000"/>
          <w:sz w:val="28"/>
          <w:szCs w:val="28"/>
        </w:rPr>
        <w:t xml:space="preserve">Головному спеціалісту відділу освіти подати </w:t>
      </w:r>
      <w:r>
        <w:rPr>
          <w:sz w:val="28"/>
          <w:szCs w:val="28"/>
        </w:rPr>
        <w:t>Департаменту освіти і науки Сумської обласної державної адміністрації</w:t>
      </w:r>
      <w:r w:rsidRPr="00A55833">
        <w:rPr>
          <w:color w:val="000000"/>
          <w:sz w:val="28"/>
          <w:szCs w:val="28"/>
        </w:rPr>
        <w:t xml:space="preserve"> інформацію</w:t>
      </w:r>
      <w:r w:rsidRPr="00A55833">
        <w:rPr>
          <w:sz w:val="28"/>
          <w:szCs w:val="28"/>
          <w:lang w:eastAsia="uk-UA"/>
        </w:rPr>
        <w:t xml:space="preserve"> про хід виконання Плану заходів подати відділу освіти до 2</w:t>
      </w:r>
      <w:r>
        <w:rPr>
          <w:sz w:val="28"/>
          <w:szCs w:val="28"/>
          <w:lang w:eastAsia="uk-UA"/>
        </w:rPr>
        <w:t>5</w:t>
      </w:r>
      <w:r w:rsidRPr="00A55833">
        <w:rPr>
          <w:sz w:val="28"/>
          <w:szCs w:val="28"/>
          <w:lang w:eastAsia="uk-UA"/>
        </w:rPr>
        <w:t>.08.2021.</w:t>
      </w:r>
    </w:p>
    <w:p w:rsidR="006B6B5B" w:rsidRPr="00A55833" w:rsidRDefault="008F266C" w:rsidP="008F266C">
      <w:pPr>
        <w:pStyle w:val="a5"/>
        <w:numPr>
          <w:ilvl w:val="0"/>
          <w:numId w:val="6"/>
        </w:numPr>
        <w:ind w:left="709"/>
        <w:jc w:val="both"/>
        <w:rPr>
          <w:color w:val="000000"/>
          <w:sz w:val="28"/>
          <w:szCs w:val="28"/>
          <w:lang w:val="ru-RU"/>
        </w:rPr>
      </w:pPr>
      <w:r w:rsidRPr="00A55833">
        <w:rPr>
          <w:sz w:val="28"/>
          <w:szCs w:val="28"/>
          <w:lang w:eastAsia="uk-UA"/>
        </w:rPr>
        <w:t xml:space="preserve">Контроль за виконанням цього наказу </w:t>
      </w:r>
      <w:r w:rsidR="006B6B5B" w:rsidRPr="00A55833">
        <w:rPr>
          <w:color w:val="000000"/>
          <w:sz w:val="28"/>
          <w:szCs w:val="28"/>
        </w:rPr>
        <w:t>залишаю за собою.</w:t>
      </w:r>
    </w:p>
    <w:p w:rsidR="006B6B5B" w:rsidRPr="00A55833" w:rsidRDefault="006B6B5B" w:rsidP="006B6B5B">
      <w:pPr>
        <w:jc w:val="both"/>
        <w:rPr>
          <w:color w:val="000000"/>
          <w:sz w:val="28"/>
          <w:szCs w:val="28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Default="006B6B5B" w:rsidP="006B6B5B">
      <w:pPr>
        <w:jc w:val="both"/>
        <w:rPr>
          <w:color w:val="000000"/>
          <w:sz w:val="24"/>
          <w:szCs w:val="24"/>
          <w:lang w:val="uk-UA"/>
        </w:rPr>
      </w:pPr>
    </w:p>
    <w:p w:rsidR="006B6B5B" w:rsidRPr="008F266C" w:rsidRDefault="006B6B5B" w:rsidP="006B6B5B">
      <w:pPr>
        <w:jc w:val="both"/>
        <w:rPr>
          <w:color w:val="000000"/>
          <w:sz w:val="28"/>
          <w:szCs w:val="28"/>
          <w:lang w:val="uk-UA"/>
        </w:rPr>
      </w:pPr>
      <w:r w:rsidRPr="008F266C">
        <w:rPr>
          <w:b/>
          <w:color w:val="000000"/>
          <w:sz w:val="28"/>
          <w:szCs w:val="28"/>
        </w:rPr>
        <w:t xml:space="preserve">Начальник  </w:t>
      </w:r>
      <w:r w:rsidRPr="008F266C">
        <w:rPr>
          <w:b/>
          <w:color w:val="000000"/>
          <w:sz w:val="28"/>
          <w:szCs w:val="28"/>
          <w:lang w:val="uk-UA"/>
        </w:rPr>
        <w:t xml:space="preserve">  </w:t>
      </w:r>
      <w:r w:rsidRPr="008F266C">
        <w:rPr>
          <w:color w:val="000000"/>
          <w:sz w:val="28"/>
          <w:szCs w:val="28"/>
          <w:lang w:val="uk-UA"/>
        </w:rPr>
        <w:t xml:space="preserve">                                                              </w:t>
      </w:r>
      <w:r w:rsidR="008F266C">
        <w:rPr>
          <w:color w:val="000000"/>
          <w:sz w:val="28"/>
          <w:szCs w:val="28"/>
          <w:lang w:val="uk-UA"/>
        </w:rPr>
        <w:t xml:space="preserve">   </w:t>
      </w:r>
      <w:r w:rsidRPr="008F266C">
        <w:rPr>
          <w:b/>
          <w:color w:val="000000"/>
          <w:sz w:val="28"/>
          <w:szCs w:val="28"/>
          <w:lang w:val="uk-UA"/>
        </w:rPr>
        <w:t>С</w:t>
      </w:r>
      <w:r w:rsidR="00900E7D" w:rsidRPr="008F266C">
        <w:rPr>
          <w:b/>
          <w:color w:val="000000"/>
          <w:sz w:val="28"/>
          <w:szCs w:val="28"/>
          <w:lang w:val="uk-UA"/>
        </w:rPr>
        <w:t xml:space="preserve">вітлана </w:t>
      </w:r>
      <w:r w:rsidRPr="008F266C">
        <w:rPr>
          <w:b/>
          <w:color w:val="000000"/>
          <w:sz w:val="28"/>
          <w:szCs w:val="28"/>
          <w:lang w:val="uk-UA"/>
        </w:rPr>
        <w:t>КАСЬЯНЕНКО</w:t>
      </w:r>
    </w:p>
    <w:p w:rsidR="006B6B5B" w:rsidRPr="008F266C" w:rsidRDefault="006B6B5B" w:rsidP="006B6B5B">
      <w:pPr>
        <w:tabs>
          <w:tab w:val="left" w:pos="851"/>
        </w:tabs>
        <w:rPr>
          <w:sz w:val="28"/>
          <w:szCs w:val="28"/>
          <w:lang w:val="uk-UA"/>
        </w:rPr>
      </w:pPr>
    </w:p>
    <w:p w:rsidR="006B6B5B" w:rsidRPr="008F266C" w:rsidRDefault="006B6B5B" w:rsidP="006B6B5B">
      <w:pPr>
        <w:tabs>
          <w:tab w:val="left" w:pos="851"/>
        </w:tabs>
        <w:rPr>
          <w:sz w:val="28"/>
          <w:szCs w:val="28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6B6B5B" w:rsidRDefault="006B6B5B" w:rsidP="006B6B5B">
      <w:pPr>
        <w:tabs>
          <w:tab w:val="left" w:pos="851"/>
        </w:tabs>
        <w:rPr>
          <w:sz w:val="24"/>
          <w:szCs w:val="24"/>
          <w:lang w:val="uk-UA"/>
        </w:rPr>
      </w:pPr>
    </w:p>
    <w:p w:rsidR="00A55833" w:rsidRDefault="00A55833" w:rsidP="00A55833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A55833">
        <w:rPr>
          <w:sz w:val="24"/>
          <w:szCs w:val="24"/>
          <w:lang w:val="uk-UA"/>
        </w:rPr>
        <w:t xml:space="preserve">одаток </w:t>
      </w:r>
    </w:p>
    <w:p w:rsidR="00A55833" w:rsidRDefault="00A55833" w:rsidP="00A55833">
      <w:pPr>
        <w:jc w:val="right"/>
        <w:rPr>
          <w:sz w:val="24"/>
          <w:szCs w:val="24"/>
          <w:lang w:val="uk-UA"/>
        </w:rPr>
      </w:pPr>
    </w:p>
    <w:p w:rsidR="00A55833" w:rsidRPr="00A55833" w:rsidRDefault="00A55833" w:rsidP="00A55833">
      <w:pPr>
        <w:jc w:val="right"/>
        <w:rPr>
          <w:sz w:val="24"/>
          <w:szCs w:val="24"/>
          <w:lang w:val="uk-UA"/>
        </w:rPr>
      </w:pPr>
    </w:p>
    <w:p w:rsidR="00A55833" w:rsidRDefault="00A55833" w:rsidP="00A558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  <w:r w:rsidRPr="00911433">
        <w:rPr>
          <w:b/>
          <w:sz w:val="28"/>
          <w:szCs w:val="28"/>
          <w:lang w:val="uk-UA"/>
        </w:rPr>
        <w:t xml:space="preserve"> </w:t>
      </w:r>
    </w:p>
    <w:p w:rsidR="00A55833" w:rsidRDefault="00A55833" w:rsidP="00A558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заходів </w:t>
      </w:r>
      <w:r w:rsidRPr="00313CD3">
        <w:rPr>
          <w:b/>
          <w:sz w:val="28"/>
          <w:szCs w:val="28"/>
          <w:lang w:val="uk-UA"/>
        </w:rPr>
        <w:t>з відзначення у 2021 році 30-ї річниці незалежності України та Дня Державного Прапора України</w:t>
      </w:r>
    </w:p>
    <w:p w:rsidR="00A55833" w:rsidRPr="00FA2E29" w:rsidRDefault="00A55833" w:rsidP="00A55833">
      <w:pPr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9747" w:type="dxa"/>
        <w:tblLook w:val="04A0"/>
      </w:tblPr>
      <w:tblGrid>
        <w:gridCol w:w="534"/>
        <w:gridCol w:w="4961"/>
        <w:gridCol w:w="1843"/>
        <w:gridCol w:w="2409"/>
      </w:tblGrid>
      <w:tr w:rsidR="00A55833" w:rsidRPr="00FA2E29" w:rsidTr="00A55833">
        <w:tc>
          <w:tcPr>
            <w:tcW w:w="534" w:type="dxa"/>
          </w:tcPr>
          <w:p w:rsidR="00A55833" w:rsidRPr="00FA2E29" w:rsidRDefault="00A55833" w:rsidP="00A55833">
            <w:pPr>
              <w:jc w:val="center"/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961" w:type="dxa"/>
          </w:tcPr>
          <w:p w:rsidR="00A55833" w:rsidRPr="00FA2E29" w:rsidRDefault="00A55833" w:rsidP="00A55833">
            <w:pPr>
              <w:jc w:val="center"/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Захід</w:t>
            </w:r>
          </w:p>
        </w:tc>
        <w:tc>
          <w:tcPr>
            <w:tcW w:w="1843" w:type="dxa"/>
          </w:tcPr>
          <w:p w:rsidR="00A55833" w:rsidRPr="00FA2E29" w:rsidRDefault="00A55833" w:rsidP="00A55833">
            <w:pPr>
              <w:jc w:val="center"/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09" w:type="dxa"/>
          </w:tcPr>
          <w:p w:rsidR="00A55833" w:rsidRPr="00FA2E29" w:rsidRDefault="00A55833" w:rsidP="00A55833">
            <w:pPr>
              <w:jc w:val="center"/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Відповідальні</w:t>
            </w:r>
          </w:p>
        </w:tc>
      </w:tr>
      <w:tr w:rsidR="00A55833" w:rsidTr="00A55833">
        <w:tc>
          <w:tcPr>
            <w:tcW w:w="534" w:type="dxa"/>
          </w:tcPr>
          <w:p w:rsidR="00A55833" w:rsidRPr="00265643" w:rsidRDefault="00A55833" w:rsidP="00DF4612">
            <w:pPr>
              <w:rPr>
                <w:sz w:val="26"/>
                <w:szCs w:val="26"/>
                <w:lang w:val="uk-UA"/>
              </w:rPr>
            </w:pPr>
            <w:r w:rsidRPr="00265643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</w:tcPr>
          <w:p w:rsidR="00A55833" w:rsidRPr="00265643" w:rsidRDefault="00A55833" w:rsidP="00DF4612">
            <w:pPr>
              <w:jc w:val="center"/>
              <w:rPr>
                <w:sz w:val="26"/>
                <w:szCs w:val="26"/>
                <w:lang w:val="uk-UA"/>
              </w:rPr>
            </w:pPr>
            <w:r w:rsidRPr="00265643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843" w:type="dxa"/>
          </w:tcPr>
          <w:p w:rsidR="00A55833" w:rsidRPr="00265643" w:rsidRDefault="00A55833" w:rsidP="00DF4612">
            <w:pPr>
              <w:jc w:val="center"/>
              <w:rPr>
                <w:sz w:val="26"/>
                <w:szCs w:val="26"/>
                <w:lang w:val="uk-UA"/>
              </w:rPr>
            </w:pPr>
            <w:r w:rsidRPr="00265643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09" w:type="dxa"/>
          </w:tcPr>
          <w:p w:rsidR="00A55833" w:rsidRPr="00265643" w:rsidRDefault="00A55833" w:rsidP="00DF4612">
            <w:pPr>
              <w:jc w:val="center"/>
              <w:rPr>
                <w:sz w:val="26"/>
                <w:szCs w:val="26"/>
                <w:lang w:val="uk-UA"/>
              </w:rPr>
            </w:pPr>
            <w:r w:rsidRPr="00265643">
              <w:rPr>
                <w:sz w:val="26"/>
                <w:szCs w:val="26"/>
                <w:lang w:val="uk-UA"/>
              </w:rPr>
              <w:t>4</w:t>
            </w:r>
          </w:p>
        </w:tc>
      </w:tr>
      <w:tr w:rsidR="00A55833" w:rsidRPr="00590DA8" w:rsidTr="00A55833">
        <w:tc>
          <w:tcPr>
            <w:tcW w:w="534" w:type="dxa"/>
          </w:tcPr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61" w:type="dxa"/>
          </w:tcPr>
          <w:p w:rsidR="00A55833" w:rsidRPr="00FA2E29" w:rsidRDefault="00A55833" w:rsidP="00A55833">
            <w:pPr>
              <w:jc w:val="both"/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 xml:space="preserve">Проведення національно-патріотичних заходів: уроків пам’яті, засідань у форматі «круглого столу», бесід, тематичних виставок та екскурсій, літературних </w:t>
            </w:r>
            <w:r>
              <w:rPr>
                <w:sz w:val="28"/>
                <w:szCs w:val="28"/>
                <w:lang w:val="uk-UA"/>
              </w:rPr>
              <w:t xml:space="preserve">вечорів, </w:t>
            </w:r>
            <w:proofErr w:type="spellStart"/>
            <w:r>
              <w:rPr>
                <w:sz w:val="28"/>
                <w:szCs w:val="28"/>
                <w:lang w:val="uk-UA"/>
              </w:rPr>
              <w:t>флешмобів</w:t>
            </w:r>
            <w:proofErr w:type="spellEnd"/>
            <w:r>
              <w:rPr>
                <w:sz w:val="28"/>
                <w:szCs w:val="28"/>
                <w:lang w:val="uk-UA"/>
              </w:rPr>
              <w:t>, спрямованих на донесення до учнівської та студентської молоді інформації про багатовікову історію, важливі події та персоналії українського державотворення, державні символи України</w:t>
            </w:r>
          </w:p>
        </w:tc>
        <w:tc>
          <w:tcPr>
            <w:tcW w:w="1843" w:type="dxa"/>
          </w:tcPr>
          <w:p w:rsidR="00A55833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 xml:space="preserve">Протягом </w:t>
            </w:r>
          </w:p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 xml:space="preserve">2021 </w:t>
            </w:r>
            <w:r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409" w:type="dxa"/>
          </w:tcPr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</w:t>
            </w:r>
            <w:r w:rsidRPr="00FA2E29">
              <w:rPr>
                <w:sz w:val="28"/>
                <w:szCs w:val="28"/>
                <w:lang w:val="uk-UA"/>
              </w:rPr>
              <w:t>, керівники закладів освіти</w:t>
            </w:r>
          </w:p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</w:p>
        </w:tc>
      </w:tr>
      <w:tr w:rsidR="00A55833" w:rsidRPr="00A55833" w:rsidTr="00A55833">
        <w:tc>
          <w:tcPr>
            <w:tcW w:w="534" w:type="dxa"/>
          </w:tcPr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</w:tcPr>
          <w:p w:rsidR="00A55833" w:rsidRPr="00FA2E29" w:rsidRDefault="00A55833" w:rsidP="00A55833">
            <w:pPr>
              <w:jc w:val="both"/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sz w:val="28"/>
                <w:szCs w:val="28"/>
                <w:lang w:val="uk-UA"/>
              </w:rPr>
              <w:t xml:space="preserve">естафети важливих справ </w:t>
            </w:r>
            <w:proofErr w:type="spellStart"/>
            <w:r>
              <w:rPr>
                <w:sz w:val="28"/>
                <w:szCs w:val="28"/>
                <w:lang w:val="uk-UA"/>
              </w:rPr>
              <w:t>позашкілля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Сумщини «30 років ‒ 30 кроків»</w:t>
            </w:r>
          </w:p>
        </w:tc>
        <w:tc>
          <w:tcPr>
            <w:tcW w:w="1843" w:type="dxa"/>
          </w:tcPr>
          <w:p w:rsidR="00A55833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 xml:space="preserve">Протягом </w:t>
            </w:r>
            <w:r>
              <w:rPr>
                <w:sz w:val="28"/>
                <w:szCs w:val="28"/>
                <w:lang w:val="uk-UA"/>
              </w:rPr>
              <w:t xml:space="preserve">червня – серпня </w:t>
            </w:r>
          </w:p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2409" w:type="dxa"/>
          </w:tcPr>
          <w:p w:rsidR="00A55833" w:rsidRPr="00FA2E29" w:rsidRDefault="00A55833" w:rsidP="00A55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Сумської обласної ради – обласний центр позашкільної освіти та роботи з талановитою молоддю, відділ освіти, керівники закладів освіти</w:t>
            </w:r>
          </w:p>
        </w:tc>
      </w:tr>
      <w:tr w:rsidR="00A55833" w:rsidRPr="00A55833" w:rsidTr="00A55833">
        <w:tc>
          <w:tcPr>
            <w:tcW w:w="534" w:type="dxa"/>
          </w:tcPr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61" w:type="dxa"/>
          </w:tcPr>
          <w:p w:rsidR="00A55833" w:rsidRPr="00FA2E29" w:rsidRDefault="00A55833" w:rsidP="00DF46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конкурсу патріотичних відеороликів «Обличчя моєї Сумщини», присвяченого 30-й річниці незалежності України</w:t>
            </w:r>
          </w:p>
        </w:tc>
        <w:tc>
          <w:tcPr>
            <w:tcW w:w="1843" w:type="dxa"/>
          </w:tcPr>
          <w:p w:rsidR="00A55833" w:rsidRDefault="00A55833" w:rsidP="00DF4612">
            <w:pPr>
              <w:rPr>
                <w:sz w:val="28"/>
                <w:szCs w:val="28"/>
                <w:lang w:val="uk-UA"/>
              </w:rPr>
            </w:pPr>
            <w:r w:rsidRPr="00FA2E29">
              <w:rPr>
                <w:sz w:val="28"/>
                <w:szCs w:val="28"/>
                <w:lang w:val="uk-UA"/>
              </w:rPr>
              <w:t xml:space="preserve">Протягом </w:t>
            </w:r>
            <w:r>
              <w:rPr>
                <w:sz w:val="28"/>
                <w:szCs w:val="28"/>
                <w:lang w:val="uk-UA"/>
              </w:rPr>
              <w:t xml:space="preserve">червня – серпня </w:t>
            </w:r>
          </w:p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2409" w:type="dxa"/>
          </w:tcPr>
          <w:p w:rsidR="00A55833" w:rsidRPr="00FA2E29" w:rsidRDefault="00A55833" w:rsidP="00DF46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Сумської обласної ради – обласний центр позашкільної освіти та роботи з талановитою молоддю, відділ освіти, керівники закладів освіти</w:t>
            </w:r>
          </w:p>
        </w:tc>
      </w:tr>
    </w:tbl>
    <w:p w:rsidR="00A55833" w:rsidRDefault="00A55833" w:rsidP="00A55833">
      <w:pPr>
        <w:rPr>
          <w:sz w:val="24"/>
          <w:szCs w:val="24"/>
          <w:lang w:val="uk-UA"/>
        </w:rPr>
      </w:pPr>
    </w:p>
    <w:sectPr w:rsidR="00A55833" w:rsidSect="005B60F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333"/>
    <w:multiLevelType w:val="multilevel"/>
    <w:tmpl w:val="53DC78C2"/>
    <w:lvl w:ilvl="0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9" w:hanging="95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9" w:hanging="95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659" w:hanging="95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1">
    <w:nsid w:val="33433FE0"/>
    <w:multiLevelType w:val="hybridMultilevel"/>
    <w:tmpl w:val="237A50DC"/>
    <w:lvl w:ilvl="0" w:tplc="F9ACF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1477E"/>
    <w:multiLevelType w:val="multilevel"/>
    <w:tmpl w:val="90E647E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4"/>
      <w:numFmt w:val="decimal"/>
      <w:isLgl/>
      <w:lvlText w:val="%1.%2."/>
      <w:lvlJc w:val="left"/>
      <w:pPr>
        <w:ind w:left="1657" w:hanging="109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64" w:hanging="109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1" w:hanging="109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78" w:hanging="109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85" w:hanging="109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color w:val="000000"/>
      </w:rPr>
    </w:lvl>
  </w:abstractNum>
  <w:abstractNum w:abstractNumId="3">
    <w:nsid w:val="65680983"/>
    <w:multiLevelType w:val="hybridMultilevel"/>
    <w:tmpl w:val="43A2F206"/>
    <w:lvl w:ilvl="0" w:tplc="5E3C82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9F82C3A">
      <w:start w:val="1"/>
      <w:numFmt w:val="decimal"/>
      <w:lvlText w:val="%2)"/>
      <w:lvlJc w:val="left"/>
      <w:pPr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BCD5F4F"/>
    <w:multiLevelType w:val="hybridMultilevel"/>
    <w:tmpl w:val="65FABB36"/>
    <w:lvl w:ilvl="0" w:tplc="865E4E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E2691"/>
    <w:multiLevelType w:val="hybridMultilevel"/>
    <w:tmpl w:val="740C6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/>
  <w:rsids>
    <w:rsidRoot w:val="005B60F5"/>
    <w:rsid w:val="00097573"/>
    <w:rsid w:val="000C6A46"/>
    <w:rsid w:val="000E3685"/>
    <w:rsid w:val="00115FFB"/>
    <w:rsid w:val="001417B5"/>
    <w:rsid w:val="00151CC1"/>
    <w:rsid w:val="00243868"/>
    <w:rsid w:val="002E4E7C"/>
    <w:rsid w:val="003B1146"/>
    <w:rsid w:val="003D69E4"/>
    <w:rsid w:val="00425E97"/>
    <w:rsid w:val="00456D19"/>
    <w:rsid w:val="004A4365"/>
    <w:rsid w:val="005A0EF3"/>
    <w:rsid w:val="005B60F5"/>
    <w:rsid w:val="005E198F"/>
    <w:rsid w:val="006B6B5B"/>
    <w:rsid w:val="007E0EEE"/>
    <w:rsid w:val="008A2E3D"/>
    <w:rsid w:val="008F266C"/>
    <w:rsid w:val="00900E7D"/>
    <w:rsid w:val="00A23BEB"/>
    <w:rsid w:val="00A55833"/>
    <w:rsid w:val="00A7475A"/>
    <w:rsid w:val="00AB667B"/>
    <w:rsid w:val="00BE0E4E"/>
    <w:rsid w:val="00CE5597"/>
    <w:rsid w:val="00E949ED"/>
    <w:rsid w:val="00EC6377"/>
    <w:rsid w:val="00F50378"/>
    <w:rsid w:val="00F6776D"/>
    <w:rsid w:val="00F8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5B60F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semiHidden/>
    <w:rsid w:val="005B60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B60F5"/>
    <w:pPr>
      <w:ind w:left="720"/>
      <w:contextualSpacing/>
    </w:pPr>
    <w:rPr>
      <w:sz w:val="24"/>
      <w:szCs w:val="24"/>
      <w:lang w:val="uk-UA"/>
    </w:rPr>
  </w:style>
  <w:style w:type="character" w:customStyle="1" w:styleId="FontStyle11">
    <w:name w:val="Font Style11"/>
    <w:basedOn w:val="a0"/>
    <w:rsid w:val="005B60F5"/>
    <w:rPr>
      <w:rFonts w:ascii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8F2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2021-05-28T09:05:00Z</cp:lastPrinted>
  <dcterms:created xsi:type="dcterms:W3CDTF">2018-05-10T08:38:00Z</dcterms:created>
  <dcterms:modified xsi:type="dcterms:W3CDTF">2021-05-28T09:08:00Z</dcterms:modified>
</cp:coreProperties>
</file>