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2ADD9" w14:textId="77777777" w:rsidR="005C46FF" w:rsidRDefault="005C46FF" w:rsidP="005C46FF">
      <w:pPr>
        <w:spacing w:after="0" w:line="240" w:lineRule="auto"/>
        <w:jc w:val="center"/>
        <w:rPr>
          <w:rFonts w:ascii="Courier New" w:hAnsi="Courier New"/>
          <w:sz w:val="20"/>
          <w:szCs w:val="20"/>
          <w:lang w:val="uk-UA"/>
        </w:rPr>
      </w:pPr>
      <w:r>
        <w:rPr>
          <w:rFonts w:ascii="Times New Roman" w:eastAsia="Calibri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E123CE3" wp14:editId="3CB68A89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41C79" w14:textId="77777777" w:rsidR="00881AEE" w:rsidRDefault="0016570C" w:rsidP="0016570C">
      <w:pPr>
        <w:spacing w:after="0" w:line="240" w:lineRule="auto"/>
        <w:jc w:val="center"/>
        <w:rPr>
          <w:rFonts w:ascii="Courier New" w:hAnsi="Courier New"/>
          <w:sz w:val="20"/>
          <w:szCs w:val="20"/>
          <w:lang w:val="uk-UA"/>
        </w:rPr>
      </w:pPr>
      <w:r>
        <w:rPr>
          <w:rFonts w:ascii="Courier New" w:hAnsi="Courier New"/>
          <w:sz w:val="20"/>
          <w:szCs w:val="20"/>
          <w:lang w:val="uk-UA"/>
        </w:rPr>
        <w:t xml:space="preserve"> </w:t>
      </w:r>
    </w:p>
    <w:p w14:paraId="5395221A" w14:textId="77777777" w:rsidR="00881AEE" w:rsidRDefault="00881AEE" w:rsidP="00881A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ІРШАВСЬКА МІСЬКА РАДА</w:t>
      </w:r>
    </w:p>
    <w:p w14:paraId="1B4A189D" w14:textId="10E6F4CB" w:rsidR="00881AEE" w:rsidRDefault="00345584" w:rsidP="00881A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345584">
        <w:rPr>
          <w:rFonts w:ascii="Times New Roman" w:hAnsi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ятдесята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881AEE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="00881AEE">
        <w:rPr>
          <w:rFonts w:ascii="Times New Roman" w:hAnsi="Times New Roman"/>
          <w:b/>
          <w:sz w:val="28"/>
          <w:szCs w:val="28"/>
        </w:rPr>
        <w:t xml:space="preserve"> </w:t>
      </w:r>
      <w:r w:rsidR="00881AEE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881AE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81AE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14:paraId="049EF85C" w14:textId="77777777" w:rsidR="00881AEE" w:rsidRDefault="00881AEE" w:rsidP="00881A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1AA932C" w14:textId="77777777" w:rsidR="00881AEE" w:rsidRDefault="00881AEE" w:rsidP="00881A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26"/>
        <w:gridCol w:w="3260"/>
      </w:tblGrid>
      <w:tr w:rsidR="00881AEE" w:rsidRPr="00D90CAE" w14:paraId="05CD0EFD" w14:textId="77777777" w:rsidTr="00D90CAE">
        <w:trPr>
          <w:trHeight w:val="428"/>
        </w:trPr>
        <w:tc>
          <w:tcPr>
            <w:tcW w:w="3261" w:type="dxa"/>
            <w:hideMark/>
          </w:tcPr>
          <w:p w14:paraId="67DCF033" w14:textId="1C1ECC9A" w:rsidR="00881AEE" w:rsidRPr="00D90CAE" w:rsidRDefault="00345584" w:rsidP="00345584">
            <w:pPr>
              <w:spacing w:after="0" w:line="240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00</w:t>
            </w:r>
            <w:r w:rsidR="00881AEE" w:rsidRPr="00D90CAE">
              <w:rPr>
                <w:b/>
                <w:bCs/>
                <w:sz w:val="28"/>
                <w:szCs w:val="28"/>
                <w:lang w:val="uk-UA"/>
              </w:rPr>
              <w:t>.0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881AEE" w:rsidRPr="00D90CAE">
              <w:rPr>
                <w:b/>
                <w:bCs/>
                <w:sz w:val="28"/>
                <w:szCs w:val="28"/>
              </w:rPr>
              <w:t>.202</w:t>
            </w:r>
            <w:r w:rsidR="00B34AE3" w:rsidRPr="00D90CAE"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  <w:hideMark/>
          </w:tcPr>
          <w:p w14:paraId="21F7BFFA" w14:textId="77777777" w:rsidR="00881AEE" w:rsidRPr="00D90CAE" w:rsidRDefault="00881AEE" w:rsidP="002200A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90CAE">
              <w:rPr>
                <w:b/>
                <w:bCs/>
                <w:sz w:val="28"/>
                <w:szCs w:val="28"/>
              </w:rPr>
              <w:t>м. Іршава</w:t>
            </w:r>
          </w:p>
        </w:tc>
        <w:tc>
          <w:tcPr>
            <w:tcW w:w="3260" w:type="dxa"/>
            <w:hideMark/>
          </w:tcPr>
          <w:p w14:paraId="388C9F6E" w14:textId="34A4A946" w:rsidR="00881AEE" w:rsidRPr="00D90CAE" w:rsidRDefault="00881AEE" w:rsidP="00345584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D90CAE">
              <w:rPr>
                <w:b/>
                <w:bCs/>
                <w:sz w:val="28"/>
                <w:szCs w:val="28"/>
              </w:rPr>
              <w:t xml:space="preserve">  №</w:t>
            </w:r>
            <w:r w:rsidR="00B956A7" w:rsidRPr="00D90CA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345584">
              <w:rPr>
                <w:b/>
                <w:bCs/>
                <w:sz w:val="28"/>
                <w:szCs w:val="28"/>
                <w:lang w:val="uk-UA"/>
              </w:rPr>
              <w:t>0000</w:t>
            </w:r>
          </w:p>
        </w:tc>
      </w:tr>
    </w:tbl>
    <w:p w14:paraId="26C4B317" w14:textId="77777777" w:rsidR="00881AEE" w:rsidRDefault="00881AEE" w:rsidP="00881AEE">
      <w:pPr>
        <w:pStyle w:val="a5"/>
        <w:ind w:firstLine="0"/>
        <w:rPr>
          <w:b/>
          <w:sz w:val="28"/>
        </w:rPr>
      </w:pPr>
    </w:p>
    <w:p w14:paraId="63172F27" w14:textId="617F2429" w:rsidR="0032267D" w:rsidRDefault="00B34AE3" w:rsidP="006676A2">
      <w:pPr>
        <w:pStyle w:val="a5"/>
        <w:ind w:firstLine="0"/>
        <w:rPr>
          <w:b/>
          <w:sz w:val="28"/>
        </w:rPr>
      </w:pPr>
      <w:r w:rsidRPr="00B34AE3">
        <w:rPr>
          <w:b/>
          <w:sz w:val="28"/>
          <w:szCs w:val="28"/>
        </w:rPr>
        <w:t xml:space="preserve">Про </w:t>
      </w:r>
      <w:r w:rsidR="00345584">
        <w:rPr>
          <w:b/>
          <w:sz w:val="28"/>
          <w:szCs w:val="28"/>
        </w:rPr>
        <w:t xml:space="preserve">прогноз бюджету </w:t>
      </w:r>
      <w:proofErr w:type="spellStart"/>
      <w:r w:rsidR="00345584">
        <w:rPr>
          <w:b/>
          <w:sz w:val="28"/>
          <w:szCs w:val="28"/>
        </w:rPr>
        <w:t>Іршавської</w:t>
      </w:r>
      <w:proofErr w:type="spellEnd"/>
      <w:r w:rsidR="00345584">
        <w:rPr>
          <w:b/>
          <w:sz w:val="28"/>
          <w:szCs w:val="28"/>
        </w:rPr>
        <w:t xml:space="preserve"> міської територіальної громади на 2026-2028 роки</w:t>
      </w:r>
    </w:p>
    <w:p w14:paraId="0B78D50C" w14:textId="77777777" w:rsidR="00B34AE3" w:rsidRPr="00B34AE3" w:rsidRDefault="00B34AE3" w:rsidP="00B34AE3">
      <w:pPr>
        <w:pStyle w:val="a5"/>
        <w:ind w:firstLine="0"/>
        <w:rPr>
          <w:b/>
          <w:sz w:val="28"/>
          <w:szCs w:val="28"/>
        </w:rPr>
      </w:pPr>
    </w:p>
    <w:p w14:paraId="36743A0C" w14:textId="77777777" w:rsidR="00881AEE" w:rsidRPr="004B4382" w:rsidRDefault="00881AEE" w:rsidP="00881AEE">
      <w:pPr>
        <w:pStyle w:val="a5"/>
        <w:ind w:firstLine="0"/>
        <w:rPr>
          <w:b/>
          <w:i/>
          <w:sz w:val="28"/>
          <w:szCs w:val="28"/>
          <w:u w:val="single"/>
          <w:lang w:eastAsia="ru-RU"/>
        </w:rPr>
      </w:pPr>
      <w:r w:rsidRPr="004B4382">
        <w:rPr>
          <w:b/>
          <w:i/>
          <w:sz w:val="28"/>
          <w:szCs w:val="28"/>
          <w:u w:val="single"/>
          <w:lang w:eastAsia="ru-RU"/>
        </w:rPr>
        <w:t>0750400000</w:t>
      </w:r>
    </w:p>
    <w:p w14:paraId="23E3B009" w14:textId="77777777" w:rsidR="001D6536" w:rsidRPr="00D90CAE" w:rsidRDefault="00881AEE" w:rsidP="00881AEE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  <w:lang w:val="uk-UA" w:eastAsia="ru-RU"/>
        </w:rPr>
      </w:pPr>
      <w:r w:rsidRPr="00D90CAE">
        <w:rPr>
          <w:rFonts w:ascii="Times New Roman" w:hAnsi="Times New Roman"/>
          <w:b/>
          <w:i/>
          <w:sz w:val="28"/>
          <w:szCs w:val="28"/>
          <w:vertAlign w:val="superscript"/>
          <w:lang w:val="uk-UA" w:eastAsia="ru-RU"/>
        </w:rPr>
        <w:t>(код бюджету)</w:t>
      </w:r>
    </w:p>
    <w:p w14:paraId="70E4FC4B" w14:textId="77777777" w:rsidR="004E27B9" w:rsidRDefault="001D6536" w:rsidP="00B26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6010">
        <w:rPr>
          <w:rFonts w:ascii="Times New Roman" w:hAnsi="Times New Roman"/>
          <w:sz w:val="28"/>
          <w:szCs w:val="28"/>
          <w:lang w:val="uk-UA"/>
        </w:rPr>
        <w:tab/>
      </w:r>
    </w:p>
    <w:p w14:paraId="1BAFBDD6" w14:textId="04130FAA" w:rsidR="001D6536" w:rsidRDefault="006676A2" w:rsidP="004E27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</w:t>
      </w:r>
      <w:r w:rsidR="00345584">
        <w:rPr>
          <w:rFonts w:ascii="Times New Roman" w:hAnsi="Times New Roman"/>
          <w:sz w:val="28"/>
          <w:szCs w:val="28"/>
          <w:lang w:val="uk-UA"/>
        </w:rPr>
        <w:t>ей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 26</w:t>
      </w:r>
      <w:r w:rsidR="00345584">
        <w:rPr>
          <w:rFonts w:ascii="Times New Roman" w:hAnsi="Times New Roman"/>
          <w:sz w:val="28"/>
          <w:szCs w:val="28"/>
          <w:lang w:val="uk-UA"/>
        </w:rPr>
        <w:t xml:space="preserve">, 59 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 стат</w:t>
      </w:r>
      <w:r w:rsidR="00345584">
        <w:rPr>
          <w:rFonts w:ascii="Times New Roman" w:hAnsi="Times New Roman"/>
          <w:sz w:val="28"/>
          <w:szCs w:val="28"/>
          <w:lang w:val="uk-UA"/>
        </w:rPr>
        <w:t>ті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5584">
        <w:rPr>
          <w:rFonts w:ascii="Times New Roman" w:hAnsi="Times New Roman"/>
          <w:sz w:val="28"/>
          <w:szCs w:val="28"/>
          <w:lang w:val="uk-UA"/>
        </w:rPr>
        <w:t>75</w:t>
      </w:r>
      <w:r w:rsidR="00345584" w:rsidRPr="00345584">
        <w:rPr>
          <w:rFonts w:ascii="Times New Roman" w:hAnsi="Times New Roman"/>
          <w:sz w:val="24"/>
          <w:szCs w:val="28"/>
          <w:vertAlign w:val="superscript"/>
          <w:lang w:val="uk-UA"/>
        </w:rPr>
        <w:t>1</w:t>
      </w:r>
      <w:r w:rsidR="003455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>Бюджетного кодексу України</w:t>
      </w:r>
      <w:r w:rsidR="00B955AF">
        <w:rPr>
          <w:rFonts w:ascii="Times New Roman" w:hAnsi="Times New Roman"/>
          <w:sz w:val="28"/>
          <w:szCs w:val="28"/>
          <w:lang w:val="uk-UA"/>
        </w:rPr>
        <w:t>,</w:t>
      </w:r>
      <w:r w:rsidR="00345584">
        <w:rPr>
          <w:rFonts w:ascii="Times New Roman" w:hAnsi="Times New Roman"/>
          <w:sz w:val="28"/>
          <w:szCs w:val="28"/>
          <w:lang w:val="uk-UA"/>
        </w:rPr>
        <w:t xml:space="preserve"> враховуючи </w:t>
      </w:r>
      <w:r w:rsidR="00C048A2">
        <w:rPr>
          <w:rFonts w:ascii="Times New Roman" w:hAnsi="Times New Roman"/>
          <w:sz w:val="28"/>
          <w:szCs w:val="28"/>
          <w:lang w:val="uk-UA"/>
        </w:rPr>
        <w:t>р</w:t>
      </w:r>
      <w:r w:rsidR="00345584">
        <w:rPr>
          <w:rFonts w:ascii="Times New Roman" w:hAnsi="Times New Roman"/>
          <w:sz w:val="28"/>
          <w:szCs w:val="28"/>
          <w:lang w:val="uk-UA"/>
        </w:rPr>
        <w:t xml:space="preserve">ішення виконавчого комітету </w:t>
      </w:r>
      <w:proofErr w:type="spellStart"/>
      <w:r w:rsidR="00345584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="00345584">
        <w:rPr>
          <w:rFonts w:ascii="Times New Roman" w:hAnsi="Times New Roman"/>
          <w:sz w:val="28"/>
          <w:szCs w:val="28"/>
          <w:lang w:val="uk-UA"/>
        </w:rPr>
        <w:t xml:space="preserve"> міської ради від 27.08.2025 року № 235</w:t>
      </w:r>
      <w:r w:rsidR="00945457">
        <w:rPr>
          <w:rFonts w:ascii="Times New Roman" w:hAnsi="Times New Roman"/>
          <w:sz w:val="28"/>
          <w:szCs w:val="28"/>
          <w:lang w:val="uk-UA"/>
        </w:rPr>
        <w:t>,</w:t>
      </w:r>
      <w:r w:rsidR="00DA39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>рекомендації постійної комісії міської ради</w:t>
      </w:r>
      <w:r w:rsidR="00B55482" w:rsidRPr="00B55482">
        <w:rPr>
          <w:szCs w:val="28"/>
          <w:lang w:val="uk-UA"/>
        </w:rPr>
        <w:t xml:space="preserve"> </w:t>
      </w:r>
      <w:r w:rsidR="00B55482" w:rsidRPr="00B55482">
        <w:rPr>
          <w:rFonts w:ascii="Times New Roman" w:hAnsi="Times New Roman"/>
          <w:sz w:val="28"/>
          <w:szCs w:val="28"/>
          <w:lang w:val="uk-UA"/>
        </w:rPr>
        <w:t>з питань соціально-економічного розвитку бюджету, фінансів та регуляторної політики</w:t>
      </w:r>
      <w:r w:rsidR="00B554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>від</w:t>
      </w:r>
      <w:r w:rsidR="002D1BA9">
        <w:rPr>
          <w:rFonts w:ascii="Times New Roman" w:hAnsi="Times New Roman"/>
          <w:sz w:val="28"/>
          <w:szCs w:val="28"/>
          <w:lang w:val="uk-UA"/>
        </w:rPr>
        <w:t> </w:t>
      </w:r>
      <w:r w:rsidR="00945457">
        <w:rPr>
          <w:rFonts w:ascii="Times New Roman" w:hAnsi="Times New Roman"/>
          <w:sz w:val="28"/>
          <w:szCs w:val="28"/>
          <w:lang w:val="uk-UA"/>
        </w:rPr>
        <w:t>00</w:t>
      </w:r>
      <w:r w:rsidR="00B304FA">
        <w:rPr>
          <w:rFonts w:ascii="Times New Roman" w:hAnsi="Times New Roman"/>
          <w:sz w:val="28"/>
          <w:szCs w:val="28"/>
          <w:lang w:val="uk-UA"/>
        </w:rPr>
        <w:t>.</w:t>
      </w:r>
      <w:r w:rsidR="00F072B9">
        <w:rPr>
          <w:rFonts w:ascii="Times New Roman" w:hAnsi="Times New Roman"/>
          <w:sz w:val="28"/>
          <w:szCs w:val="28"/>
          <w:lang w:val="uk-UA"/>
        </w:rPr>
        <w:t>0</w:t>
      </w:r>
      <w:r w:rsidR="00945457">
        <w:rPr>
          <w:rFonts w:ascii="Times New Roman" w:hAnsi="Times New Roman"/>
          <w:sz w:val="28"/>
          <w:szCs w:val="28"/>
          <w:lang w:val="uk-UA"/>
        </w:rPr>
        <w:t>9</w:t>
      </w:r>
      <w:r w:rsidR="00B304FA">
        <w:rPr>
          <w:rFonts w:ascii="Times New Roman" w:hAnsi="Times New Roman"/>
          <w:sz w:val="28"/>
          <w:szCs w:val="28"/>
          <w:lang w:val="uk-UA"/>
        </w:rPr>
        <w:t>.202</w:t>
      </w:r>
      <w:r w:rsidR="00D4603A">
        <w:rPr>
          <w:rFonts w:ascii="Times New Roman" w:hAnsi="Times New Roman"/>
          <w:sz w:val="28"/>
          <w:szCs w:val="28"/>
          <w:lang w:val="uk-UA"/>
        </w:rPr>
        <w:t>5</w:t>
      </w:r>
      <w:r w:rsidR="00881A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4FA">
        <w:rPr>
          <w:rFonts w:ascii="Times New Roman" w:hAnsi="Times New Roman"/>
          <w:sz w:val="28"/>
          <w:szCs w:val="28"/>
          <w:lang w:val="uk-UA"/>
        </w:rPr>
        <w:t>р</w:t>
      </w:r>
      <w:r w:rsidR="00881AEE">
        <w:rPr>
          <w:rFonts w:ascii="Times New Roman" w:hAnsi="Times New Roman"/>
          <w:sz w:val="28"/>
          <w:szCs w:val="28"/>
          <w:lang w:val="uk-UA"/>
        </w:rPr>
        <w:t>оку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1D6536" w:rsidRPr="000F22A6">
        <w:rPr>
          <w:rFonts w:ascii="Times New Roman" w:hAnsi="Times New Roman"/>
          <w:sz w:val="28"/>
          <w:szCs w:val="28"/>
          <w:lang w:val="uk-UA"/>
        </w:rPr>
        <w:t>Іршавськ</w:t>
      </w:r>
      <w:r w:rsidR="00881AEE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881A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>міськ</w:t>
      </w:r>
      <w:r w:rsidR="00881AEE">
        <w:rPr>
          <w:rFonts w:ascii="Times New Roman" w:hAnsi="Times New Roman"/>
          <w:sz w:val="28"/>
          <w:szCs w:val="28"/>
          <w:lang w:val="uk-UA"/>
        </w:rPr>
        <w:t>а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881AEE">
        <w:rPr>
          <w:rFonts w:ascii="Times New Roman" w:hAnsi="Times New Roman"/>
          <w:sz w:val="28"/>
          <w:szCs w:val="28"/>
          <w:lang w:val="uk-UA"/>
        </w:rPr>
        <w:t>а ВИРІШИЛА: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012867F" w14:textId="77777777" w:rsidR="006676A2" w:rsidRDefault="006676A2" w:rsidP="004E27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4D5B29" w14:textId="35177FA9" w:rsidR="001D6536" w:rsidRPr="00945457" w:rsidRDefault="00F12F62" w:rsidP="00D71123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F06DE9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945457">
        <w:rPr>
          <w:rFonts w:ascii="Times New Roman" w:hAnsi="Times New Roman"/>
          <w:sz w:val="28"/>
          <w:szCs w:val="28"/>
          <w:lang w:val="uk-UA"/>
        </w:rPr>
        <w:t xml:space="preserve">Розглянути та взяти до відома Прогноз бюджету </w:t>
      </w:r>
      <w:proofErr w:type="spellStart"/>
      <w:r w:rsidR="00945457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="00945457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2026-2028 роки, згідно з додатком що додається.</w:t>
      </w:r>
      <w:r w:rsidRPr="00177E1C"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14:paraId="08E2DC22" w14:textId="7D90BFB5" w:rsidR="001D6536" w:rsidRPr="00AA445D" w:rsidRDefault="00D71123" w:rsidP="00B2669F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D97AA4">
        <w:rPr>
          <w:sz w:val="28"/>
          <w:szCs w:val="28"/>
        </w:rPr>
        <w:t>.</w:t>
      </w:r>
      <w:r w:rsidR="001D6536" w:rsidRPr="00AA445D">
        <w:rPr>
          <w:sz w:val="28"/>
          <w:szCs w:val="28"/>
        </w:rPr>
        <w:t xml:space="preserve"> Контроль за виконанням цього рішення покласти на постійну комісію міської </w:t>
      </w:r>
      <w:r w:rsidR="00B55482" w:rsidRPr="00AA445D">
        <w:rPr>
          <w:sz w:val="28"/>
          <w:szCs w:val="28"/>
        </w:rPr>
        <w:t xml:space="preserve">ради з питань соціально-економічного розвитку </w:t>
      </w:r>
      <w:r w:rsidR="001D6536" w:rsidRPr="00AA445D">
        <w:rPr>
          <w:sz w:val="28"/>
          <w:szCs w:val="28"/>
        </w:rPr>
        <w:t>бюджету, фінансів та регуляторної політики (голова комісії</w:t>
      </w:r>
      <w:r w:rsidR="002B623B" w:rsidRPr="002B623B">
        <w:rPr>
          <w:sz w:val="24"/>
          <w:szCs w:val="24"/>
        </w:rPr>
        <w:t xml:space="preserve"> </w:t>
      </w:r>
      <w:r w:rsidR="002B623B" w:rsidRPr="002B623B">
        <w:rPr>
          <w:sz w:val="28"/>
          <w:szCs w:val="28"/>
        </w:rPr>
        <w:t>Бородкіна М.В</w:t>
      </w:r>
      <w:r w:rsidR="002B623B" w:rsidRPr="009807D0">
        <w:rPr>
          <w:sz w:val="24"/>
          <w:szCs w:val="24"/>
        </w:rPr>
        <w:t>.</w:t>
      </w:r>
      <w:r w:rsidR="001D6536" w:rsidRPr="00AA445D">
        <w:rPr>
          <w:sz w:val="28"/>
          <w:szCs w:val="28"/>
        </w:rPr>
        <w:t xml:space="preserve">). </w:t>
      </w:r>
    </w:p>
    <w:p w14:paraId="0223A879" w14:textId="77777777" w:rsidR="001D6536" w:rsidRDefault="001D6536" w:rsidP="00B2669F">
      <w:pPr>
        <w:pStyle w:val="a5"/>
        <w:ind w:firstLine="0"/>
        <w:rPr>
          <w:szCs w:val="28"/>
        </w:rPr>
      </w:pPr>
    </w:p>
    <w:p w14:paraId="2D02CC33" w14:textId="77777777" w:rsidR="00B2669F" w:rsidRDefault="00B2669F" w:rsidP="00B2669F">
      <w:pPr>
        <w:pStyle w:val="a5"/>
        <w:ind w:firstLine="0"/>
        <w:rPr>
          <w:szCs w:val="28"/>
        </w:rPr>
      </w:pPr>
    </w:p>
    <w:p w14:paraId="5F609ABE" w14:textId="77777777" w:rsidR="00B2669F" w:rsidRDefault="00B2669F" w:rsidP="00B2669F">
      <w:pPr>
        <w:pStyle w:val="a5"/>
        <w:ind w:firstLine="0"/>
        <w:rPr>
          <w:szCs w:val="28"/>
        </w:rPr>
      </w:pPr>
    </w:p>
    <w:p w14:paraId="181D502E" w14:textId="77777777" w:rsidR="001D6536" w:rsidRPr="008A6823" w:rsidRDefault="001D6536" w:rsidP="00B2669F">
      <w:pPr>
        <w:pStyle w:val="a5"/>
        <w:ind w:firstLine="0"/>
        <w:rPr>
          <w:szCs w:val="28"/>
        </w:rPr>
      </w:pPr>
    </w:p>
    <w:p w14:paraId="3799B06E" w14:textId="6F7B85FD" w:rsidR="001D6536" w:rsidRDefault="00B55482" w:rsidP="00B2669F">
      <w:pPr>
        <w:pStyle w:val="a5"/>
        <w:ind w:firstLine="0"/>
        <w:rPr>
          <w:b/>
          <w:sz w:val="28"/>
          <w:szCs w:val="28"/>
        </w:rPr>
      </w:pPr>
      <w:r w:rsidRPr="00F3783F">
        <w:rPr>
          <w:b/>
          <w:sz w:val="28"/>
          <w:szCs w:val="28"/>
        </w:rPr>
        <w:t>М</w:t>
      </w:r>
      <w:r w:rsidR="00B2669F">
        <w:rPr>
          <w:b/>
          <w:sz w:val="28"/>
          <w:szCs w:val="28"/>
        </w:rPr>
        <w:t>іський голова</w:t>
      </w:r>
      <w:r w:rsidR="001D6536" w:rsidRPr="00F3783F">
        <w:rPr>
          <w:b/>
          <w:sz w:val="28"/>
          <w:szCs w:val="28"/>
        </w:rPr>
        <w:t xml:space="preserve">           </w:t>
      </w:r>
      <w:r w:rsidRPr="00F3783F">
        <w:rPr>
          <w:b/>
          <w:sz w:val="28"/>
          <w:szCs w:val="28"/>
        </w:rPr>
        <w:t xml:space="preserve">                   </w:t>
      </w:r>
      <w:r w:rsidR="00B2669F">
        <w:rPr>
          <w:b/>
          <w:sz w:val="28"/>
          <w:szCs w:val="28"/>
        </w:rPr>
        <w:t xml:space="preserve">       </w:t>
      </w:r>
      <w:r w:rsidRPr="00F3783F">
        <w:rPr>
          <w:b/>
          <w:sz w:val="28"/>
          <w:szCs w:val="28"/>
        </w:rPr>
        <w:t xml:space="preserve">    </w:t>
      </w:r>
      <w:r w:rsidR="001D6536" w:rsidRPr="00F3783F">
        <w:rPr>
          <w:b/>
          <w:sz w:val="28"/>
          <w:szCs w:val="28"/>
        </w:rPr>
        <w:t xml:space="preserve">      </w:t>
      </w:r>
      <w:r w:rsidR="00D90CAE">
        <w:rPr>
          <w:b/>
          <w:sz w:val="28"/>
          <w:szCs w:val="28"/>
        </w:rPr>
        <w:t xml:space="preserve">          </w:t>
      </w:r>
      <w:r w:rsidR="001D6536" w:rsidRPr="00F3783F">
        <w:rPr>
          <w:b/>
          <w:sz w:val="28"/>
          <w:szCs w:val="28"/>
        </w:rPr>
        <w:t xml:space="preserve"> </w:t>
      </w:r>
      <w:r w:rsidR="00D90CAE">
        <w:rPr>
          <w:b/>
          <w:sz w:val="28"/>
          <w:szCs w:val="28"/>
        </w:rPr>
        <w:t xml:space="preserve">  </w:t>
      </w:r>
      <w:r w:rsidR="00B2669F">
        <w:rPr>
          <w:b/>
          <w:sz w:val="28"/>
          <w:szCs w:val="28"/>
        </w:rPr>
        <w:t>Віктор</w:t>
      </w:r>
      <w:r w:rsidR="001D6536" w:rsidRPr="00F3783F">
        <w:rPr>
          <w:b/>
          <w:sz w:val="28"/>
          <w:szCs w:val="28"/>
        </w:rPr>
        <w:t xml:space="preserve"> СИМКАНИНЕЦЬ</w:t>
      </w:r>
    </w:p>
    <w:p w14:paraId="61894870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6AACECEB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0709D35C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1EFE17B0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14DF754F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5BA41E48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422A8E0B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75980652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64377F2F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4017109B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4FE4DEAD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1A3F80EC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11418AB2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35E071C9" w14:textId="77777777" w:rsidR="00D71123" w:rsidRDefault="00D71123" w:rsidP="00B2669F">
      <w:pPr>
        <w:pStyle w:val="a5"/>
        <w:ind w:firstLine="0"/>
        <w:rPr>
          <w:b/>
          <w:sz w:val="28"/>
          <w:szCs w:val="28"/>
        </w:rPr>
      </w:pPr>
    </w:p>
    <w:p w14:paraId="136A9FD6" w14:textId="77777777" w:rsidR="00320B68" w:rsidRDefault="002200AC" w:rsidP="00DE09CC">
      <w:pPr>
        <w:pStyle w:val="ac"/>
        <w:ind w:left="709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Додаток до рішення</w:t>
      </w:r>
      <w:r w:rsidR="00DE09CC">
        <w:rPr>
          <w:sz w:val="28"/>
          <w:szCs w:val="28"/>
          <w:lang w:val="uk-UA"/>
        </w:rPr>
        <w:t xml:space="preserve">  </w:t>
      </w:r>
    </w:p>
    <w:p w14:paraId="11E1B917" w14:textId="39618086" w:rsidR="005A5441" w:rsidRPr="005A5441" w:rsidRDefault="00320B68" w:rsidP="00DE09CC">
      <w:pPr>
        <w:pStyle w:val="ac"/>
        <w:ind w:left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5A5441">
        <w:rPr>
          <w:sz w:val="28"/>
          <w:szCs w:val="28"/>
          <w:lang w:val="uk-UA"/>
        </w:rPr>
        <w:t xml:space="preserve"> </w:t>
      </w:r>
      <w:r w:rsidRPr="005A5441">
        <w:rPr>
          <w:b/>
          <w:sz w:val="28"/>
          <w:szCs w:val="28"/>
          <w:lang w:val="uk-UA"/>
        </w:rPr>
        <w:t>п</w:t>
      </w:r>
      <w:r w:rsidRPr="00967D5C">
        <w:rPr>
          <w:b/>
          <w:sz w:val="28"/>
          <w:szCs w:val="28"/>
          <w:lang w:val="uk-UA"/>
        </w:rPr>
        <w:t>’</w:t>
      </w:r>
      <w:r w:rsidRPr="005A5441">
        <w:rPr>
          <w:b/>
          <w:sz w:val="28"/>
          <w:szCs w:val="28"/>
          <w:lang w:val="uk-UA"/>
        </w:rPr>
        <w:t>ятдесятої сесії</w:t>
      </w:r>
      <w:r w:rsidR="00DE09CC" w:rsidRPr="005A5441">
        <w:rPr>
          <w:b/>
          <w:sz w:val="28"/>
          <w:szCs w:val="28"/>
          <w:lang w:val="uk-UA"/>
        </w:rPr>
        <w:t xml:space="preserve">  </w:t>
      </w:r>
    </w:p>
    <w:p w14:paraId="418E47D9" w14:textId="7F213E57" w:rsidR="00DE09CC" w:rsidRPr="005A5441" w:rsidRDefault="005A5441" w:rsidP="00DE09CC">
      <w:pPr>
        <w:pStyle w:val="ac"/>
        <w:ind w:left="709"/>
        <w:jc w:val="center"/>
        <w:rPr>
          <w:b/>
          <w:sz w:val="28"/>
          <w:szCs w:val="28"/>
          <w:lang w:val="uk-UA"/>
        </w:rPr>
      </w:pPr>
      <w:r w:rsidRPr="005A5441"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5A5441">
        <w:rPr>
          <w:b/>
          <w:sz w:val="28"/>
          <w:szCs w:val="28"/>
          <w:lang w:val="en-US"/>
        </w:rPr>
        <w:t>V</w:t>
      </w:r>
      <w:r w:rsidRPr="005A5441">
        <w:rPr>
          <w:b/>
          <w:sz w:val="28"/>
          <w:szCs w:val="28"/>
          <w:lang w:val="uk-UA"/>
        </w:rPr>
        <w:t>ІІІ скликання</w:t>
      </w:r>
      <w:r w:rsidR="00DE09CC" w:rsidRPr="005A5441">
        <w:rPr>
          <w:b/>
          <w:sz w:val="28"/>
          <w:szCs w:val="28"/>
          <w:lang w:val="uk-UA"/>
        </w:rPr>
        <w:t xml:space="preserve">                                                     </w:t>
      </w:r>
    </w:p>
    <w:p w14:paraId="0A6728C7" w14:textId="77777777" w:rsidR="00DE09CC" w:rsidRPr="004F2B81" w:rsidRDefault="00DE09CC" w:rsidP="00DE09CC">
      <w:pPr>
        <w:pStyle w:val="ac"/>
        <w:ind w:left="709"/>
        <w:jc w:val="center"/>
        <w:rPr>
          <w:b/>
          <w:sz w:val="28"/>
          <w:szCs w:val="28"/>
          <w:lang w:val="uk-UA"/>
        </w:rPr>
      </w:pPr>
      <w:r w:rsidRPr="004F2B81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</w:t>
      </w:r>
      <w:proofErr w:type="spellStart"/>
      <w:r>
        <w:rPr>
          <w:b/>
          <w:sz w:val="28"/>
          <w:szCs w:val="28"/>
          <w:lang w:val="uk-UA"/>
        </w:rPr>
        <w:t>Іршавської</w:t>
      </w:r>
      <w:proofErr w:type="spellEnd"/>
      <w:r>
        <w:rPr>
          <w:b/>
          <w:sz w:val="28"/>
          <w:szCs w:val="28"/>
          <w:lang w:val="uk-UA"/>
        </w:rPr>
        <w:t xml:space="preserve"> міської</w:t>
      </w:r>
      <w:r w:rsidRPr="004F2B81">
        <w:rPr>
          <w:b/>
          <w:sz w:val="28"/>
          <w:szCs w:val="28"/>
          <w:lang w:val="uk-UA"/>
        </w:rPr>
        <w:t xml:space="preserve"> ради</w:t>
      </w:r>
    </w:p>
    <w:p w14:paraId="3293FEB6" w14:textId="56AC48AC" w:rsidR="00DE09CC" w:rsidRPr="002200AC" w:rsidRDefault="00DE09CC" w:rsidP="00DE09CC">
      <w:pPr>
        <w:pStyle w:val="ac"/>
        <w:ind w:left="709"/>
        <w:jc w:val="center"/>
        <w:rPr>
          <w:b/>
          <w:sz w:val="28"/>
          <w:szCs w:val="28"/>
          <w:lang w:val="uk-UA"/>
        </w:rPr>
      </w:pPr>
      <w:r w:rsidRPr="004F2B81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2200AC">
        <w:rPr>
          <w:b/>
          <w:sz w:val="28"/>
          <w:szCs w:val="28"/>
          <w:lang w:val="uk-UA"/>
        </w:rPr>
        <w:t xml:space="preserve">   </w:t>
      </w:r>
      <w:r w:rsidR="00947AE3">
        <w:rPr>
          <w:b/>
          <w:sz w:val="28"/>
          <w:szCs w:val="28"/>
          <w:lang w:val="uk-UA"/>
        </w:rPr>
        <w:t xml:space="preserve">      від </w:t>
      </w:r>
      <w:r w:rsidR="002200AC">
        <w:rPr>
          <w:b/>
          <w:sz w:val="28"/>
          <w:szCs w:val="28"/>
          <w:lang w:val="uk-UA"/>
        </w:rPr>
        <w:t>00</w:t>
      </w:r>
      <w:r w:rsidRPr="002200AC">
        <w:rPr>
          <w:b/>
          <w:sz w:val="28"/>
          <w:szCs w:val="28"/>
          <w:lang w:val="uk-UA"/>
        </w:rPr>
        <w:t xml:space="preserve"> </w:t>
      </w:r>
      <w:r w:rsidR="002200AC">
        <w:rPr>
          <w:b/>
          <w:sz w:val="28"/>
          <w:szCs w:val="28"/>
          <w:lang w:val="uk-UA"/>
        </w:rPr>
        <w:t>вересня</w:t>
      </w:r>
      <w:r w:rsidRPr="002200AC">
        <w:rPr>
          <w:b/>
          <w:sz w:val="28"/>
          <w:szCs w:val="28"/>
          <w:lang w:val="uk-UA"/>
        </w:rPr>
        <w:t xml:space="preserve"> 2025 р. № </w:t>
      </w:r>
      <w:r w:rsidR="002200AC">
        <w:rPr>
          <w:b/>
          <w:sz w:val="28"/>
          <w:szCs w:val="28"/>
          <w:lang w:val="uk-UA"/>
        </w:rPr>
        <w:t>0000</w:t>
      </w:r>
    </w:p>
    <w:p w14:paraId="729F4A3B" w14:textId="77777777" w:rsidR="00DE09CC" w:rsidRDefault="00DE09CC" w:rsidP="00DE09CC">
      <w:pPr>
        <w:pStyle w:val="ac"/>
        <w:ind w:left="709"/>
        <w:jc w:val="center"/>
        <w:rPr>
          <w:b/>
          <w:sz w:val="28"/>
          <w:szCs w:val="28"/>
          <w:lang w:val="uk-UA"/>
        </w:rPr>
      </w:pPr>
    </w:p>
    <w:p w14:paraId="63EFA986" w14:textId="77777777" w:rsidR="00DE09CC" w:rsidRDefault="00DE09CC" w:rsidP="00DE09CC">
      <w:pPr>
        <w:pStyle w:val="ac"/>
        <w:ind w:left="709"/>
        <w:jc w:val="center"/>
        <w:rPr>
          <w:b/>
          <w:sz w:val="28"/>
          <w:szCs w:val="28"/>
          <w:lang w:val="uk-UA"/>
        </w:rPr>
      </w:pPr>
    </w:p>
    <w:p w14:paraId="7C476FB0" w14:textId="77777777" w:rsidR="00DE09CC" w:rsidRDefault="00DE09CC" w:rsidP="002B3C97">
      <w:pPr>
        <w:pStyle w:val="ac"/>
        <w:ind w:left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</w:t>
      </w:r>
    </w:p>
    <w:p w14:paraId="5B94B65C" w14:textId="77777777" w:rsidR="00DE09CC" w:rsidRDefault="00DE09CC" w:rsidP="002B3C97">
      <w:pPr>
        <w:pStyle w:val="ac"/>
        <w:ind w:left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бюджету </w:t>
      </w:r>
      <w:proofErr w:type="spellStart"/>
      <w:r>
        <w:rPr>
          <w:b/>
          <w:sz w:val="28"/>
          <w:szCs w:val="28"/>
          <w:lang w:val="uk-UA"/>
        </w:rPr>
        <w:t>Іршавської</w:t>
      </w:r>
      <w:proofErr w:type="spellEnd"/>
      <w:r>
        <w:rPr>
          <w:b/>
          <w:sz w:val="28"/>
          <w:szCs w:val="28"/>
          <w:lang w:val="uk-UA"/>
        </w:rPr>
        <w:t xml:space="preserve"> міської територіальної громади</w:t>
      </w:r>
    </w:p>
    <w:p w14:paraId="7324D830" w14:textId="1DC4CA19" w:rsidR="00DE09CC" w:rsidRPr="003D63CC" w:rsidRDefault="00DE09CC" w:rsidP="002B3C97">
      <w:pPr>
        <w:pStyle w:val="ac"/>
        <w:ind w:left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Pr="003D63CC">
        <w:rPr>
          <w:b/>
          <w:sz w:val="28"/>
          <w:szCs w:val="28"/>
        </w:rPr>
        <w:t>6</w:t>
      </w:r>
      <w:r>
        <w:rPr>
          <w:b/>
          <w:sz w:val="28"/>
          <w:szCs w:val="28"/>
          <w:lang w:val="uk-UA"/>
        </w:rPr>
        <w:t>-202</w:t>
      </w:r>
      <w:r w:rsidRPr="003D63CC">
        <w:rPr>
          <w:b/>
          <w:sz w:val="28"/>
          <w:szCs w:val="28"/>
        </w:rPr>
        <w:t>8</w:t>
      </w:r>
      <w:r>
        <w:rPr>
          <w:b/>
          <w:sz w:val="28"/>
          <w:szCs w:val="28"/>
          <w:lang w:val="uk-UA"/>
        </w:rPr>
        <w:t xml:space="preserve"> роки</w:t>
      </w:r>
    </w:p>
    <w:p w14:paraId="67869170" w14:textId="77777777" w:rsidR="00DE09CC" w:rsidRDefault="00DE09CC" w:rsidP="00DE09CC">
      <w:pPr>
        <w:pStyle w:val="ac"/>
        <w:ind w:left="709"/>
        <w:jc w:val="center"/>
        <w:rPr>
          <w:b/>
          <w:sz w:val="28"/>
          <w:szCs w:val="28"/>
          <w:lang w:val="uk-UA"/>
        </w:rPr>
      </w:pPr>
    </w:p>
    <w:p w14:paraId="30865406" w14:textId="77777777" w:rsidR="00DE09CC" w:rsidRPr="00E52E51" w:rsidRDefault="00DE09CC" w:rsidP="00DE09CC">
      <w:pPr>
        <w:pStyle w:val="ac"/>
        <w:ind w:left="709"/>
        <w:rPr>
          <w:b/>
          <w:sz w:val="28"/>
          <w:szCs w:val="28"/>
          <w:u w:val="single"/>
          <w:lang w:val="uk-UA"/>
        </w:rPr>
      </w:pPr>
    </w:p>
    <w:p w14:paraId="2C5237F5" w14:textId="2189D4A3" w:rsidR="00DE09CC" w:rsidRPr="00DE09CC" w:rsidRDefault="00DE09CC" w:rsidP="002B3C9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E09CC">
        <w:rPr>
          <w:rFonts w:ascii="Times New Roman" w:hAnsi="Times New Roman"/>
          <w:b/>
          <w:sz w:val="28"/>
          <w:szCs w:val="28"/>
          <w:u w:val="single"/>
          <w:lang w:val="uk-UA"/>
        </w:rPr>
        <w:t>0750400000</w:t>
      </w:r>
    </w:p>
    <w:p w14:paraId="69397A4F" w14:textId="3FAF237E" w:rsidR="00DE09CC" w:rsidRPr="00DE09CC" w:rsidRDefault="00DE09CC" w:rsidP="002B3C97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DE09CC">
        <w:rPr>
          <w:rFonts w:ascii="Times New Roman" w:hAnsi="Times New Roman"/>
          <w:b/>
          <w:sz w:val="20"/>
          <w:szCs w:val="20"/>
          <w:lang w:val="uk-UA"/>
        </w:rPr>
        <w:t>(код бюджету)</w:t>
      </w:r>
    </w:p>
    <w:p w14:paraId="320D070E" w14:textId="77777777" w:rsidR="00DE09CC" w:rsidRPr="00DE09CC" w:rsidRDefault="00DE09CC" w:rsidP="00DE09CC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8D4675F" w14:textId="77777777" w:rsidR="00DE09CC" w:rsidRPr="00DE09CC" w:rsidRDefault="00DE09CC" w:rsidP="00DE09C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  <w:lang w:val="uk-UA"/>
        </w:rPr>
        <w:t>І. Загальна частина</w:t>
      </w:r>
    </w:p>
    <w:p w14:paraId="478E85B2" w14:textId="07BEA06A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ab/>
        <w:t xml:space="preserve">Прогноз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2026-2028 роки (далі Прогноз) розроблено на основі положень Бюджетного  та Податкового кодексів України, Закону України  «Про правовий режим воєнного стану в Україні», постанови Кабінету Міністрів України від 27.06.2025р. № 774 «Про схвалення Бюджетної декларації на 2026-2028 роки», наказу Міністерства фінансів України від 23.05.2015 р. № 271 «Про затвердження Методичних рекомендацій щодо організації середньострокового бюджетного планування на місцевому рівні», від 02.06.2021 року № 314 «Про затвердження Типової форми прогнозу місцевого бюджету та Інструкції щодо його складання», від 06.10.2023 р. № 534 «Про затвердження Інструкції щодо підготовки бюджетної пропозиції», від 28.02.2025 р. № 131 «Про затвердження Методики визначення джерел і механізмів фінансового забезпечення публічних інвестиційних проектів та програм публічних інвестицій»,  листа Міністерства фінансів України від 09.07.2025р. №05120-08-6/19235 «Щодо особливостей середньострокового бюджетного планування та складання розрахунків до прогнозів місцевих бюджетів», Стратегії розвитку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 до 2027 року,  розпорядження міського голови від 16.06.2025 р.   № 61 «Про  план заходів щодо складання прогнозу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 територіальної громади на 2026-2028 роки та середньострокового плану пріоритетних публічних інвестицій»,  міських (регіональних) цільових програм та інших законодавчих актів з питань бюджету та міжбюджетних відносин з урахуванням комплексного аналізу економічної ситуації для подолання негативних наслідків, спричинених збройною агресією </w:t>
      </w:r>
      <w:r w:rsidR="00D06E66">
        <w:rPr>
          <w:rFonts w:ascii="Times New Roman" w:hAnsi="Times New Roman"/>
          <w:sz w:val="28"/>
          <w:szCs w:val="28"/>
          <w:lang w:val="uk-UA"/>
        </w:rPr>
        <w:t>р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осійської </w:t>
      </w:r>
      <w:r w:rsidR="00D06E66">
        <w:rPr>
          <w:rFonts w:ascii="Times New Roman" w:hAnsi="Times New Roman"/>
          <w:sz w:val="28"/>
          <w:szCs w:val="28"/>
          <w:lang w:val="uk-UA"/>
        </w:rPr>
        <w:t>ф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едерації проти України. </w:t>
      </w:r>
    </w:p>
    <w:p w14:paraId="41ABE3DE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 Запровадження середньострокового бюджетного планування сприятиме забезпеченню фінансової стабільності та зміцненню економічного зростання у </w:t>
      </w:r>
      <w:r w:rsidRPr="00DE09CC">
        <w:rPr>
          <w:rFonts w:ascii="Times New Roman" w:hAnsi="Times New Roman"/>
          <w:sz w:val="28"/>
          <w:szCs w:val="28"/>
          <w:lang w:val="uk-UA"/>
        </w:rPr>
        <w:lastRenderedPageBreak/>
        <w:t xml:space="preserve">середньостроковій перспективі. Процес планування бюджету на середньострокову перспективу, як метод удосконалення процесу прийняття бюджетних рішень щодо розв’язання комплексу соціальних, економічних, екологічних завдань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 міської територіальної громади.</w:t>
      </w:r>
    </w:p>
    <w:p w14:paraId="7A518C31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ab/>
        <w:t xml:space="preserve">Цей Прогноз сформовано як дієвий механізм управління бюджетним процесом, з метою встановлення взаємозв'язку між стратегічними цілями розвитку громади та можливостями бюджету у середньостроковій перспективі, забезпечення прозорості, передбачуваності та послідовності бюджетної політики, досягнення економічної і соціальної ефективності політики розвитку громади, визначення довгострокових фінансових та інвестиційних програм, досягнення організаційної чіткості і ефективності виконання завдань, поставлених перед територіальною громадою. Середньострокове бюджетне планування передбачає раціональне залучення коштів та розподіл ресурсів щодо визначених пріоритетів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громади.</w:t>
      </w:r>
    </w:p>
    <w:p w14:paraId="257C3E1F" w14:textId="77777777" w:rsidR="00DE09CC" w:rsidRPr="00DE09CC" w:rsidRDefault="00DE09CC" w:rsidP="00DE09CC">
      <w:pPr>
        <w:pStyle w:val="Default"/>
        <w:jc w:val="both"/>
        <w:rPr>
          <w:b/>
          <w:sz w:val="28"/>
          <w:szCs w:val="28"/>
        </w:rPr>
      </w:pPr>
      <w:r w:rsidRPr="00DE09CC">
        <w:rPr>
          <w:sz w:val="26"/>
          <w:szCs w:val="26"/>
        </w:rPr>
        <w:t xml:space="preserve">           </w:t>
      </w:r>
      <w:r w:rsidRPr="00DE09CC">
        <w:rPr>
          <w:b/>
          <w:sz w:val="28"/>
          <w:szCs w:val="28"/>
        </w:rPr>
        <w:t xml:space="preserve">Основними цілями бюджетної політики </w:t>
      </w:r>
      <w:proofErr w:type="spellStart"/>
      <w:r w:rsidRPr="00DE09CC">
        <w:rPr>
          <w:b/>
          <w:sz w:val="28"/>
          <w:szCs w:val="28"/>
        </w:rPr>
        <w:t>Іршавської</w:t>
      </w:r>
      <w:proofErr w:type="spellEnd"/>
      <w:r w:rsidRPr="00DE09CC">
        <w:rPr>
          <w:b/>
          <w:sz w:val="28"/>
          <w:szCs w:val="28"/>
        </w:rPr>
        <w:t xml:space="preserve">  міської територіальної громади є: </w:t>
      </w:r>
    </w:p>
    <w:p w14:paraId="2A67EA94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  забезпечення надходжень до бюджету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 з урахуванням позитивної динаміки у порівнянні з попередніми роками; </w:t>
      </w:r>
    </w:p>
    <w:p w14:paraId="6F9EF5E5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  вжиття заходів до залучення додаткових надходжень до бюджету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 міської територіальної громади, зокрема, шляхом забезпечення ефективного управління об’єктами комунальної власності та земельними ресурсами; </w:t>
      </w:r>
    </w:p>
    <w:p w14:paraId="404C52FE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  врахування основних положень бюджетно-податкової політики, дотримання фінансової дисципліни, підвищення рівня прозорості та раціональності бюджетного процесу; </w:t>
      </w:r>
    </w:p>
    <w:p w14:paraId="4B18BD67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  концентрація ресурсів бюджету на виконанні пріоритетних цілей та завдань, спрямованих на соціально-економічний розвиток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громади, передбачених Стратегією розвитку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громади; </w:t>
      </w:r>
    </w:p>
    <w:p w14:paraId="0F26FE2D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підвищення рівня обґрунтованості бюджетного планування шляхом встановлення взаємозв'язку бюджетних показників із стратегічними цілями соціально-економічного розвитку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та планування бюджету на середньострокову перспективу;</w:t>
      </w:r>
    </w:p>
    <w:p w14:paraId="65F1AB15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  підвищення фінансової дисципліни, посилення прозорості, ефективності витрачання бюджетних коштів та якісне надання публічних послуг, здійснення оптимізації витрат шляхом виключення непріоритетних та неефективних видатків; </w:t>
      </w:r>
    </w:p>
    <w:p w14:paraId="033D4150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  забезпечення гендерної рівності, кліматичної стійкості та соціальної справедливості, а також підвищенню якості життя населення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громади; </w:t>
      </w:r>
    </w:p>
    <w:p w14:paraId="5FFF5721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lastRenderedPageBreak/>
        <w:t xml:space="preserve">           забезпечення стабільного функціонування бюджетних установ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 та виконання заходів, передбачених місцевими цільовими програмами; </w:t>
      </w:r>
    </w:p>
    <w:p w14:paraId="61BE6840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  забезпечення фінансування проектів (програм), що мають термін реалізації більше одного року; </w:t>
      </w:r>
    </w:p>
    <w:p w14:paraId="60B2593B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  впровадження нової моделі управління публічними інвестиціями з метою створення прозорої, єдиної системи управління фінансовими ресурсами бюджету; </w:t>
      </w:r>
    </w:p>
    <w:p w14:paraId="3516218C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сприяння розвитку інноваційного потенціалу та інвестиційної привабливості.</w:t>
      </w:r>
      <w:r w:rsidRPr="00DE09CC">
        <w:rPr>
          <w:rFonts w:ascii="Times New Roman" w:hAnsi="Times New Roman"/>
          <w:sz w:val="28"/>
          <w:szCs w:val="28"/>
          <w:lang w:val="uk-UA"/>
        </w:rPr>
        <w:tab/>
      </w:r>
    </w:p>
    <w:p w14:paraId="2D11CE07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19B80A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Метою Прогнозу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- запровадження дієвого механізму управління бюджетним процесом на рівні бюджету міської територіальної громади, як складової частини системи управління державними фінансами, встановлення взаємозв’язку між стратегічними цілями та можливостями бюджету у середньостроковій перспективі, забезпечення прозорості, передбачуваності та послідовності бюджетної політики.</w:t>
      </w:r>
    </w:p>
    <w:p w14:paraId="38B614C6" w14:textId="77777777" w:rsidR="00DE09CC" w:rsidRPr="00DE09CC" w:rsidRDefault="00DE09CC" w:rsidP="00DE09C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ab/>
        <w:t xml:space="preserve">Прогноз бюджету міської територіальної громади базується на принципах збалансованості, обґрунтованості, ефективності та результативності. </w:t>
      </w:r>
    </w:p>
    <w:p w14:paraId="3C47D229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A564DC1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Очікувані результати:</w:t>
      </w:r>
    </w:p>
    <w:p w14:paraId="4BF1BD4E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забезпечення балансу між надходженнями та видатками до бюджету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 на кожний рік Прогнозу; </w:t>
      </w:r>
    </w:p>
    <w:p w14:paraId="13F82B29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формування головними розпорядниками бюджетних коштів плану своєї діяльності на середньостроковий період, визначення обсягів необхідних коштів для досягнення поставлених цілей у середньостроковій перспективі; </w:t>
      </w:r>
    </w:p>
    <w:p w14:paraId="329C84DC" w14:textId="08EED7B3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досягнення максимальної ефективності використання бюджетних коштів в процесі виконання бюджетних програм (з врахуванням змін у бюджетному законодавстві)</w:t>
      </w:r>
      <w:r w:rsidR="00D06E66">
        <w:rPr>
          <w:sz w:val="28"/>
          <w:szCs w:val="28"/>
        </w:rPr>
        <w:t xml:space="preserve">, </w:t>
      </w:r>
      <w:r w:rsidRPr="00DE09CC">
        <w:rPr>
          <w:sz w:val="28"/>
          <w:szCs w:val="28"/>
        </w:rPr>
        <w:t xml:space="preserve">забезпечення ефективності розподілу ресурсів бюджету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громади; </w:t>
      </w:r>
    </w:p>
    <w:p w14:paraId="39A1B1E8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зміцнення фінансової спроможності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громади, підвищення прозорості та ефективності управляння бюджетними коштами; підвищення прозорості і підзвітності у бюджетному процесі та забезпечення механізму систематичного перегляду бюджетних зобов’язань і пріоритетів витрачання бюджетних коштів; </w:t>
      </w:r>
    </w:p>
    <w:p w14:paraId="0B32DDC9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забезпечення у повному обсязі проведення видатків на оплату праці працівників бюджетних установ відповідно до умов оплати праці та розміру мінімальної заробітної плати, розрахунків за енергоносії та комунальні послуги;</w:t>
      </w:r>
    </w:p>
    <w:p w14:paraId="39732CF4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сприяння розвитку інноваційного потенціалу та інвестиційної привабливості. </w:t>
      </w:r>
    </w:p>
    <w:p w14:paraId="12906AAE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lastRenderedPageBreak/>
        <w:t xml:space="preserve">        Можливі ризики невиконання прогнозних показників бюджету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 на середньострокову перспективу може відбутись у разі: </w:t>
      </w:r>
    </w:p>
    <w:p w14:paraId="4959471D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змін в макроекономічному середовищі, спричинених продовження країною-агресором бойових дій та ракетних атак на енергосистему та цілеспрямованим руйнуванням об’єктів критичної інфраструктури, промисловості, що призводить до ускладнення логістики, суттєвого дисбалансу на ринку праці, негативно впливає на зовнішню торгівлю; </w:t>
      </w:r>
    </w:p>
    <w:p w14:paraId="0109FC54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sz w:val="28"/>
          <w:szCs w:val="28"/>
        </w:rPr>
        <w:t xml:space="preserve">         безпосередній вплив на формування та виконання прогнозних показників бюджету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 на середньострокову перспективу мають ризики, пов’язані зі змінами бюджетного та податкового законодавства, з погіршенням внутрішніх та зовнішніх умов функціонування економіки та ризики бюджетної системи; </w:t>
      </w:r>
    </w:p>
    <w:p w14:paraId="7721DF5B" w14:textId="77777777" w:rsidR="00DE09CC" w:rsidRPr="00DE09CC" w:rsidRDefault="00DE09CC" w:rsidP="00DE09C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</w:t>
      </w:r>
      <w:proofErr w:type="spellStart"/>
      <w:r w:rsidRPr="00DE09CC"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неплатоспроможності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09CC">
        <w:rPr>
          <w:rFonts w:ascii="Times New Roman" w:hAnsi="Times New Roman"/>
          <w:sz w:val="28"/>
          <w:szCs w:val="28"/>
        </w:rPr>
        <w:t>реального</w:t>
      </w:r>
      <w:proofErr w:type="gramEnd"/>
      <w:r w:rsidRPr="00DE09CC">
        <w:rPr>
          <w:rFonts w:ascii="Times New Roman" w:hAnsi="Times New Roman"/>
          <w:sz w:val="28"/>
          <w:szCs w:val="28"/>
        </w:rPr>
        <w:t xml:space="preserve"> сектору </w:t>
      </w:r>
      <w:proofErr w:type="spellStart"/>
      <w:r w:rsidRPr="00DE09CC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DE09CC">
        <w:rPr>
          <w:rFonts w:ascii="Times New Roman" w:hAnsi="Times New Roman"/>
          <w:sz w:val="26"/>
          <w:szCs w:val="26"/>
        </w:rPr>
        <w:t>.</w:t>
      </w:r>
    </w:p>
    <w:p w14:paraId="698292C7" w14:textId="77777777" w:rsidR="00DE09CC" w:rsidRPr="00DE09CC" w:rsidRDefault="00DE09CC" w:rsidP="00DE09CC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145D71A" w14:textId="77777777" w:rsidR="00DE09CC" w:rsidRPr="00DE09CC" w:rsidRDefault="00DE09CC" w:rsidP="00DE09CC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F59CF1E" w14:textId="77777777" w:rsidR="00DE09CC" w:rsidRPr="00DE09CC" w:rsidRDefault="00DE09CC" w:rsidP="00DE09CC">
      <w:pPr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  <w:lang w:val="uk-UA"/>
        </w:rPr>
        <w:t xml:space="preserve">   ІІ. Основні прогнозні показники економічного та соціального розвитку</w:t>
      </w:r>
    </w:p>
    <w:p w14:paraId="336BA77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Іршавська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 міська громада займає площу 309,5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км²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та складає 9,7% площі Хустського району, 2,4% площі Закарпатської області. Географічне розташування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МТГ, майже в центрі області, є певною логістичною перевагою для соціально-економічного розвитку, проте з огляду на її віддаленість від обласних центрів та пунктів пропуску з країнами ЄС,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Іршавська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громада не вирізняється логістичним потенціалом.</w:t>
      </w:r>
    </w:p>
    <w:p w14:paraId="4404338E" w14:textId="77777777" w:rsidR="00DE09CC" w:rsidRPr="00DE09CC" w:rsidRDefault="00DE09CC" w:rsidP="00DE09CC">
      <w:pPr>
        <w:shd w:val="clear" w:color="auto" w:fill="FFFFFF"/>
        <w:spacing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uk-UA" w:eastAsia="zh-CN"/>
        </w:rPr>
      </w:pPr>
      <w:r w:rsidRPr="00DE09CC">
        <w:rPr>
          <w:rFonts w:ascii="Times New Roman" w:eastAsia="SimSun" w:hAnsi="Times New Roman"/>
          <w:sz w:val="28"/>
          <w:szCs w:val="28"/>
          <w:lang w:val="uk-UA" w:eastAsia="zh-CN"/>
        </w:rPr>
        <w:t>Завдяки діяльності підприємницьких структур розвивається торгівля, ресторанне господарство, заклади розміщення, виробництво сільськогосподарської продукції та інші сфери послуг.</w:t>
      </w:r>
    </w:p>
    <w:p w14:paraId="703AB8AF" w14:textId="77777777" w:rsidR="00DE09CC" w:rsidRPr="00DE09CC" w:rsidRDefault="00DE09CC" w:rsidP="00DE09CC">
      <w:pPr>
        <w:shd w:val="clear" w:color="auto" w:fill="FFFFFF"/>
        <w:spacing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Загальна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кількість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зареєстрованих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фізичних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осіб-підприємців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(ФОП) у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громаді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становить 1120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одиниць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.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Лідерами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по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кількості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ФОП є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такі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галузі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: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роздрібна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торгівля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діяльність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барів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та кафе,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надання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послуг</w:t>
      </w:r>
      <w:proofErr w:type="spellEnd"/>
      <w:r w:rsidRPr="00DE09C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перукарі</w:t>
      </w:r>
      <w:proofErr w:type="gramStart"/>
      <w:r w:rsidRPr="00DE09CC">
        <w:rPr>
          <w:rFonts w:ascii="Times New Roman" w:eastAsia="SimSun" w:hAnsi="Times New Roman"/>
          <w:sz w:val="28"/>
          <w:szCs w:val="28"/>
          <w:lang w:eastAsia="zh-CN"/>
        </w:rPr>
        <w:t>в</w:t>
      </w:r>
      <w:proofErr w:type="spellEnd"/>
      <w:proofErr w:type="gramEnd"/>
      <w:r w:rsidRPr="00DE09CC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17CBF335" w14:textId="77777777" w:rsidR="00DE09CC" w:rsidRPr="00DE09CC" w:rsidRDefault="00DE09CC" w:rsidP="00DE09CC">
      <w:pPr>
        <w:shd w:val="clear" w:color="auto" w:fill="FFFFFF"/>
        <w:spacing w:line="276" w:lineRule="auto"/>
        <w:ind w:firstLine="72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proofErr w:type="gram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До</w:t>
      </w:r>
      <w:proofErr w:type="gram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бюджету</w:t>
      </w:r>
      <w:proofErr w:type="gram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Іршавської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МТГ 1005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суб’єкт</w:t>
      </w:r>
      <w:r w:rsidRPr="00DE09CC">
        <w:rPr>
          <w:rFonts w:ascii="Times New Roman" w:eastAsia="SimSun" w:hAnsi="Times New Roman"/>
          <w:color w:val="000000"/>
          <w:sz w:val="28"/>
          <w:szCs w:val="28"/>
          <w:lang w:val="uk-UA" w:eastAsia="zh-CN"/>
        </w:rPr>
        <w:t>ів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господарської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діяльності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сплачують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єдиний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податок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(985 –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фізичних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осіб-підприємців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20 –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юридичних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осіб</w:t>
      </w:r>
      <w:proofErr w:type="spellEnd"/>
      <w:r w:rsidRPr="00DE09C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). </w:t>
      </w:r>
    </w:p>
    <w:p w14:paraId="063E05CF" w14:textId="77777777" w:rsidR="00DE09CC" w:rsidRPr="00DE09CC" w:rsidRDefault="00DE09CC" w:rsidP="00DE09CC">
      <w:pPr>
        <w:tabs>
          <w:tab w:val="left" w:pos="5529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DE09CC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МТГ </w:t>
      </w:r>
      <w:proofErr w:type="spellStart"/>
      <w:proofErr w:type="gramStart"/>
      <w:r w:rsidRPr="00DE09CC">
        <w:rPr>
          <w:rFonts w:ascii="Times New Roman" w:hAnsi="Times New Roman"/>
          <w:sz w:val="28"/>
          <w:szCs w:val="28"/>
        </w:rPr>
        <w:t>нал</w:t>
      </w:r>
      <w:proofErr w:type="gramEnd"/>
      <w:r w:rsidRPr="00DE09CC">
        <w:rPr>
          <w:rFonts w:ascii="Times New Roman" w:hAnsi="Times New Roman"/>
          <w:sz w:val="28"/>
          <w:szCs w:val="28"/>
        </w:rPr>
        <w:t>ічується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близько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40 </w:t>
      </w:r>
      <w:proofErr w:type="spellStart"/>
      <w:r w:rsidRPr="00DE09CC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09CC">
        <w:rPr>
          <w:rFonts w:ascii="Times New Roman" w:hAnsi="Times New Roman"/>
          <w:sz w:val="28"/>
          <w:szCs w:val="28"/>
        </w:rPr>
        <w:t>які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працюють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E09CC">
        <w:rPr>
          <w:rFonts w:ascii="Times New Roman" w:hAnsi="Times New Roman"/>
          <w:sz w:val="28"/>
          <w:szCs w:val="28"/>
        </w:rPr>
        <w:t>галузі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сільського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E09CC">
        <w:rPr>
          <w:rFonts w:ascii="Times New Roman" w:hAnsi="Times New Roman"/>
          <w:sz w:val="28"/>
          <w:szCs w:val="28"/>
        </w:rPr>
        <w:t>займаються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вирощуванням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зернових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культур, </w:t>
      </w:r>
      <w:proofErr w:type="spellStart"/>
      <w:r w:rsidRPr="00DE09CC">
        <w:rPr>
          <w:rFonts w:ascii="Times New Roman" w:hAnsi="Times New Roman"/>
          <w:sz w:val="28"/>
          <w:szCs w:val="28"/>
        </w:rPr>
        <w:t>овочів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E09CC">
        <w:rPr>
          <w:rFonts w:ascii="Times New Roman" w:hAnsi="Times New Roman"/>
          <w:sz w:val="28"/>
          <w:szCs w:val="28"/>
        </w:rPr>
        <w:t>тваринництвом</w:t>
      </w:r>
      <w:proofErr w:type="spellEnd"/>
      <w:r w:rsidRPr="00DE09CC">
        <w:rPr>
          <w:rFonts w:ascii="Times New Roman" w:hAnsi="Times New Roman"/>
          <w:sz w:val="28"/>
          <w:szCs w:val="28"/>
        </w:rPr>
        <w:t>.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471899A" w14:textId="13C78DE1" w:rsidR="00DE09CC" w:rsidRPr="00DE09CC" w:rsidRDefault="00DE09CC" w:rsidP="00DE09C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="Calibri" w:hAnsi="Times New Roman"/>
          <w:sz w:val="28"/>
          <w:szCs w:val="28"/>
          <w:lang w:val="uk-UA" w:eastAsia="zh-CN"/>
        </w:rPr>
        <w:t xml:space="preserve">Основні бюджетоутворюючі підприємства громади це: </w:t>
      </w:r>
      <w:r w:rsidRPr="00DE09CC">
        <w:rPr>
          <w:rFonts w:ascii="Times New Roman" w:hAnsi="Times New Roman"/>
          <w:sz w:val="28"/>
          <w:szCs w:val="28"/>
          <w:lang w:val="uk-UA"/>
        </w:rPr>
        <w:t>ТОВ «Берег-Кабель ГМБХ», ТОВ «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К`Лен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», ТОВ «Сліп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Айді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Україна,ТОВ «БЕБ,</w:t>
      </w:r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E09CC">
        <w:rPr>
          <w:rFonts w:ascii="Times New Roman" w:hAnsi="Times New Roman"/>
          <w:lang w:val="uk-UA"/>
        </w:rPr>
        <w:t xml:space="preserve">ПП </w:t>
      </w:r>
      <w:proofErr w:type="spellStart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Коровський</w:t>
      </w:r>
      <w:proofErr w:type="spellEnd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 М.В., </w:t>
      </w:r>
      <w:proofErr w:type="spellStart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Лівеста</w:t>
      </w:r>
      <w:proofErr w:type="spellEnd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Косметік</w:t>
      </w:r>
      <w:proofErr w:type="spellEnd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 ТОВ, </w:t>
      </w:r>
      <w:proofErr w:type="spellStart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ТОВ</w:t>
      </w:r>
      <w:proofErr w:type="spellEnd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Електро-Закарпаття</w:t>
      </w:r>
      <w:proofErr w:type="spellEnd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», ТОВ «Зібрано", ПП </w:t>
      </w:r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«Вікторія Транс», </w:t>
      </w:r>
      <w:proofErr w:type="spellStart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ТзОВ</w:t>
      </w:r>
      <w:proofErr w:type="spellEnd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Новітекс</w:t>
      </w:r>
      <w:proofErr w:type="spellEnd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»,ТОВ  «Ш І </w:t>
      </w:r>
      <w:proofErr w:type="spellStart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proofErr w:type="spellEnd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 К», ТОВ «Українська Бронетехніка», НВО АПЕКС ПЛАНТ ТОВ», ПРАТ «КЗВВ»,</w:t>
      </w:r>
      <w:r w:rsidRPr="00DE09CC">
        <w:rPr>
          <w:rFonts w:ascii="Times New Roman" w:hAnsi="Times New Roman"/>
          <w:lang w:val="uk-UA"/>
        </w:rPr>
        <w:t xml:space="preserve"> </w:t>
      </w:r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А.М. IТРО ТЗОВ,</w:t>
      </w:r>
      <w:r w:rsidRPr="00DE09CC">
        <w:rPr>
          <w:rFonts w:ascii="Times New Roman" w:hAnsi="Times New Roman"/>
          <w:lang w:val="uk-UA"/>
        </w:rPr>
        <w:t xml:space="preserve"> </w:t>
      </w:r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АКТIВ ТРАНС ТОВ,</w:t>
      </w:r>
      <w:r w:rsidRPr="00DE09CC">
        <w:rPr>
          <w:rFonts w:ascii="Times New Roman" w:hAnsi="Times New Roman"/>
          <w:lang w:val="uk-UA"/>
        </w:rPr>
        <w:t xml:space="preserve"> </w:t>
      </w:r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БЕЛIВЕР ТОВ,</w:t>
      </w:r>
      <w:r w:rsidRPr="00DE09CC">
        <w:rPr>
          <w:rFonts w:ascii="Times New Roman" w:hAnsi="Times New Roman"/>
          <w:lang w:val="uk-UA"/>
        </w:rPr>
        <w:t xml:space="preserve"> </w:t>
      </w:r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ЕЛС ТОВ, КIО ТРАНС ЛТД ТОВ,</w:t>
      </w:r>
      <w:r w:rsidRPr="00DE09CC">
        <w:rPr>
          <w:rFonts w:ascii="Times New Roman" w:hAnsi="Times New Roman"/>
          <w:lang w:val="uk-UA"/>
        </w:rPr>
        <w:t xml:space="preserve"> </w:t>
      </w:r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С+ В - ТРАНС ТОВ, СПМК-23 ТОВ, </w:t>
      </w:r>
      <w:proofErr w:type="spellStart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>ТОВ</w:t>
      </w:r>
      <w:proofErr w:type="spellEnd"/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 "СОФ АВТО". </w:t>
      </w:r>
    </w:p>
    <w:p w14:paraId="62B8A3A6" w14:textId="77777777" w:rsidR="00DE09CC" w:rsidRPr="00DE09CC" w:rsidRDefault="00DE09CC" w:rsidP="00DE09CC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DE09CC">
        <w:rPr>
          <w:rFonts w:ascii="Times New Roman" w:eastAsia="Calibri" w:hAnsi="Times New Roman"/>
          <w:sz w:val="28"/>
          <w:szCs w:val="28"/>
          <w:lang w:val="uk-UA" w:eastAsia="zh-CN"/>
        </w:rPr>
        <w:t>Відповідно до аналізу обсягів залучених іноземних інвестицій за видами економічної діяльності найбільша частка припадає на промисловість. Основу товарної структури експорту громади складає деревина і вироби з деревини, шкіряні вироби, текстильні матеріали і текстильні вироби, шліфувальні і спеціальні абразивні круги, допоміжне механічне зварювальне устаткування, різні промислові товари.</w:t>
      </w:r>
      <w:r w:rsidRPr="00DE09CC">
        <w:rPr>
          <w:rFonts w:ascii="Times New Roman" w:eastAsia="Calibri" w:hAnsi="Times New Roman"/>
          <w:sz w:val="28"/>
          <w:szCs w:val="28"/>
          <w:lang w:eastAsia="zh-CN"/>
        </w:rPr>
        <w:t> </w:t>
      </w:r>
    </w:p>
    <w:p w14:paraId="606AF4D0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Подальший економічний розвиток громади, як і України в цілому, залежить від тривалості та перебігу військових дій, динаміки рівня без пекових ризиків. Інфляційні процеси в громаді віддзеркалюють загальнодержавні показники в прогнозовано до 2028 року складатимуть зростання цін у межах 10% щороку.</w:t>
      </w:r>
    </w:p>
    <w:p w14:paraId="023EC3C8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Виходячи із ситуації що склалася та враховуючи основні показники Стратегії розвитку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 територіальної громади до 2027 року, здійснено розрахунок  прогнозу економічного та соціального розвитку територіальної громади на 2026-2028 роки, при цьому за основу взято  основні прогнозні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макро-показники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економічного і соціального розвитку України, визначені на відповідні бюджетні періоди Бюджетною декларацією які спрямовані на подолання негативних наслідків, пов’язаних з військовими подіями в Україні.</w:t>
      </w:r>
    </w:p>
    <w:p w14:paraId="3CE97891" w14:textId="77777777" w:rsidR="00DE09CC" w:rsidRPr="00DE09CC" w:rsidRDefault="00DE09CC" w:rsidP="00DE09CC">
      <w:pPr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3C33342" w14:textId="77777777" w:rsidR="00DE09CC" w:rsidRPr="00DE09CC" w:rsidRDefault="00DE09CC" w:rsidP="00DE09CC">
      <w:pPr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i/>
          <w:sz w:val="28"/>
          <w:szCs w:val="28"/>
          <w:lang w:val="uk-UA"/>
        </w:rPr>
        <w:t xml:space="preserve">Основні прогнозні </w:t>
      </w:r>
      <w:proofErr w:type="spellStart"/>
      <w:r w:rsidRPr="00DE09CC">
        <w:rPr>
          <w:rFonts w:ascii="Times New Roman" w:hAnsi="Times New Roman"/>
          <w:b/>
          <w:i/>
          <w:sz w:val="28"/>
          <w:szCs w:val="28"/>
          <w:lang w:val="uk-UA"/>
        </w:rPr>
        <w:t>макропоказники</w:t>
      </w:r>
      <w:proofErr w:type="spellEnd"/>
      <w:r w:rsidRPr="00DE09CC">
        <w:rPr>
          <w:rFonts w:ascii="Times New Roman" w:hAnsi="Times New Roman"/>
          <w:b/>
          <w:i/>
          <w:sz w:val="28"/>
          <w:szCs w:val="28"/>
          <w:lang w:val="uk-UA"/>
        </w:rPr>
        <w:t xml:space="preserve"> економічного та соціального розвитку України, які враховуються під час  визначення показників прогнозу  бюджету </w:t>
      </w:r>
      <w:proofErr w:type="spellStart"/>
      <w:r w:rsidRPr="00DE09CC">
        <w:rPr>
          <w:rFonts w:ascii="Times New Roman" w:hAnsi="Times New Roman"/>
          <w:b/>
          <w:i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 територіальної громади на середньостроковий період</w:t>
      </w:r>
    </w:p>
    <w:p w14:paraId="529260FD" w14:textId="77777777" w:rsidR="00DE09CC" w:rsidRPr="00DE09CC" w:rsidRDefault="00DE09CC" w:rsidP="00DE09CC">
      <w:pPr>
        <w:rPr>
          <w:rFonts w:ascii="Times New Roman" w:hAnsi="Times New Roman"/>
          <w:b/>
          <w:i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594"/>
        <w:gridCol w:w="5068"/>
        <w:gridCol w:w="1252"/>
        <w:gridCol w:w="1387"/>
        <w:gridCol w:w="1220"/>
      </w:tblGrid>
      <w:tr w:rsidR="00DE09CC" w:rsidRPr="00DE09CC" w14:paraId="63B24CA3" w14:textId="77777777" w:rsidTr="002200AC">
        <w:tc>
          <w:tcPr>
            <w:tcW w:w="594" w:type="dxa"/>
          </w:tcPr>
          <w:p w14:paraId="549FA6F8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№</w:t>
            </w:r>
          </w:p>
          <w:p w14:paraId="0BD568DD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п/</w:t>
            </w:r>
            <w:proofErr w:type="spellStart"/>
            <w:r w:rsidRPr="00DE09CC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068" w:type="dxa"/>
          </w:tcPr>
          <w:p w14:paraId="1524A7ED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252" w:type="dxa"/>
          </w:tcPr>
          <w:p w14:paraId="3A4AE712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387" w:type="dxa"/>
          </w:tcPr>
          <w:p w14:paraId="668F6B50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220" w:type="dxa"/>
          </w:tcPr>
          <w:p w14:paraId="2714CABC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2028 рік</w:t>
            </w:r>
          </w:p>
        </w:tc>
      </w:tr>
      <w:tr w:rsidR="00DE09CC" w:rsidRPr="00DE09CC" w14:paraId="59980487" w14:textId="77777777" w:rsidTr="002200AC">
        <w:tc>
          <w:tcPr>
            <w:tcW w:w="594" w:type="dxa"/>
          </w:tcPr>
          <w:p w14:paraId="4A32E7D9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068" w:type="dxa"/>
          </w:tcPr>
          <w:p w14:paraId="1DF5597C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Розмір мінімальної заробітної плати (грн.)</w:t>
            </w:r>
          </w:p>
          <w:p w14:paraId="6876A1DE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   </w:t>
            </w:r>
          </w:p>
          <w:p w14:paraId="2A2CA7DA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ріст до попереднього року ( %)</w:t>
            </w:r>
          </w:p>
        </w:tc>
        <w:tc>
          <w:tcPr>
            <w:tcW w:w="1252" w:type="dxa"/>
          </w:tcPr>
          <w:p w14:paraId="0E3026BF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8 688</w:t>
            </w:r>
          </w:p>
          <w:p w14:paraId="684B2AFA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6BC9E80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</w:p>
          <w:p w14:paraId="2D195AA2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   8,6</w:t>
            </w:r>
          </w:p>
        </w:tc>
        <w:tc>
          <w:tcPr>
            <w:tcW w:w="1387" w:type="dxa"/>
          </w:tcPr>
          <w:p w14:paraId="40B6D34A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9 374</w:t>
            </w:r>
          </w:p>
          <w:p w14:paraId="40D4A0F0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82EF5F9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</w:p>
          <w:p w14:paraId="7C9F22AD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  7,9</w:t>
            </w:r>
          </w:p>
        </w:tc>
        <w:tc>
          <w:tcPr>
            <w:tcW w:w="1220" w:type="dxa"/>
          </w:tcPr>
          <w:p w14:paraId="00024328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10 059</w:t>
            </w:r>
          </w:p>
          <w:p w14:paraId="71D71631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37B4CA3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</w:p>
          <w:p w14:paraId="0C37F3FE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7,3</w:t>
            </w:r>
          </w:p>
        </w:tc>
      </w:tr>
      <w:tr w:rsidR="00DE09CC" w:rsidRPr="00DE09CC" w14:paraId="4ABF252C" w14:textId="77777777" w:rsidTr="002200AC">
        <w:tc>
          <w:tcPr>
            <w:tcW w:w="594" w:type="dxa"/>
          </w:tcPr>
          <w:p w14:paraId="37F2A428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5068" w:type="dxa"/>
          </w:tcPr>
          <w:p w14:paraId="729068B2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Розмір посадового окладу працівника І тарифного розряду за ЄСТ (грн.)</w:t>
            </w:r>
          </w:p>
          <w:p w14:paraId="290D7086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   </w:t>
            </w:r>
          </w:p>
          <w:p w14:paraId="03A281E6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ріст до попереднього року (%)</w:t>
            </w:r>
          </w:p>
        </w:tc>
        <w:tc>
          <w:tcPr>
            <w:tcW w:w="1252" w:type="dxa"/>
          </w:tcPr>
          <w:p w14:paraId="0C5E1765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0B43212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3 470</w:t>
            </w:r>
          </w:p>
          <w:p w14:paraId="6BF18EBD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</w:p>
          <w:p w14:paraId="2CFDDD53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  8,6</w:t>
            </w:r>
          </w:p>
        </w:tc>
        <w:tc>
          <w:tcPr>
            <w:tcW w:w="1387" w:type="dxa"/>
          </w:tcPr>
          <w:p w14:paraId="22208BF3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5A5B81A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 3 744</w:t>
            </w:r>
          </w:p>
          <w:p w14:paraId="51949A95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CFB1780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   7,9</w:t>
            </w:r>
          </w:p>
        </w:tc>
        <w:tc>
          <w:tcPr>
            <w:tcW w:w="1220" w:type="dxa"/>
          </w:tcPr>
          <w:p w14:paraId="57C16D61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28E00F3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4 018</w:t>
            </w:r>
          </w:p>
          <w:p w14:paraId="0CC73489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</w:p>
          <w:p w14:paraId="51371F78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  7,3</w:t>
            </w:r>
          </w:p>
        </w:tc>
      </w:tr>
      <w:tr w:rsidR="00DE09CC" w:rsidRPr="00DE09CC" w14:paraId="07888F12" w14:textId="77777777" w:rsidTr="002200AC">
        <w:tc>
          <w:tcPr>
            <w:tcW w:w="594" w:type="dxa"/>
          </w:tcPr>
          <w:p w14:paraId="2201D603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068" w:type="dxa"/>
          </w:tcPr>
          <w:p w14:paraId="3B7C0071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Прожитковий мінімум на одну особу (грн.)</w:t>
            </w:r>
          </w:p>
          <w:p w14:paraId="1F29B03E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9CC">
              <w:rPr>
                <w:sz w:val="28"/>
                <w:szCs w:val="28"/>
                <w:lang w:val="uk-UA"/>
              </w:rPr>
              <w:t>-для</w:t>
            </w:r>
            <w:proofErr w:type="spellEnd"/>
            <w:r w:rsidRPr="00DE09CC">
              <w:rPr>
                <w:sz w:val="28"/>
                <w:szCs w:val="28"/>
                <w:lang w:val="uk-UA"/>
              </w:rPr>
              <w:t xml:space="preserve"> дітей віком до 6 років</w:t>
            </w:r>
          </w:p>
          <w:p w14:paraId="1D5AEF0D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9CC">
              <w:rPr>
                <w:sz w:val="28"/>
                <w:szCs w:val="28"/>
                <w:lang w:val="uk-UA"/>
              </w:rPr>
              <w:t>-для</w:t>
            </w:r>
            <w:proofErr w:type="spellEnd"/>
            <w:r w:rsidRPr="00DE09CC">
              <w:rPr>
                <w:sz w:val="28"/>
                <w:szCs w:val="28"/>
                <w:lang w:val="uk-UA"/>
              </w:rPr>
              <w:t xml:space="preserve"> дітей віком від 6 до 18 р.</w:t>
            </w:r>
          </w:p>
          <w:p w14:paraId="449185DC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9CC">
              <w:rPr>
                <w:sz w:val="28"/>
                <w:szCs w:val="28"/>
                <w:lang w:val="uk-UA"/>
              </w:rPr>
              <w:t>-для</w:t>
            </w:r>
            <w:proofErr w:type="spellEnd"/>
            <w:r w:rsidRPr="00DE09CC">
              <w:rPr>
                <w:sz w:val="28"/>
                <w:szCs w:val="28"/>
                <w:lang w:val="uk-UA"/>
              </w:rPr>
              <w:t xml:space="preserve"> працездатних осіб</w:t>
            </w:r>
          </w:p>
          <w:p w14:paraId="1DC93558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proofErr w:type="spellStart"/>
            <w:r w:rsidRPr="00DE09CC">
              <w:rPr>
                <w:sz w:val="28"/>
                <w:szCs w:val="28"/>
                <w:lang w:val="uk-UA"/>
              </w:rPr>
              <w:t>-для</w:t>
            </w:r>
            <w:proofErr w:type="spellEnd"/>
            <w:r w:rsidRPr="00DE09CC">
              <w:rPr>
                <w:sz w:val="28"/>
                <w:szCs w:val="28"/>
                <w:lang w:val="uk-UA"/>
              </w:rPr>
              <w:t xml:space="preserve"> осіб, які втратили працездатність</w:t>
            </w:r>
          </w:p>
          <w:p w14:paraId="4B104470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252" w:type="dxa"/>
          </w:tcPr>
          <w:p w14:paraId="4A1E63DD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3 171</w:t>
            </w:r>
          </w:p>
          <w:p w14:paraId="0AE9F3B3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</w:p>
          <w:p w14:paraId="4C36C868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2 783</w:t>
            </w:r>
          </w:p>
          <w:p w14:paraId="6CB32854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3 471</w:t>
            </w:r>
          </w:p>
          <w:p w14:paraId="301F0398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3 288</w:t>
            </w:r>
          </w:p>
          <w:p w14:paraId="30D9B968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2 564</w:t>
            </w:r>
          </w:p>
        </w:tc>
        <w:tc>
          <w:tcPr>
            <w:tcW w:w="1387" w:type="dxa"/>
          </w:tcPr>
          <w:p w14:paraId="2BAAA6CB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3 358</w:t>
            </w:r>
          </w:p>
          <w:p w14:paraId="4CCD95AF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5F42F8C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2 947</w:t>
            </w:r>
          </w:p>
          <w:p w14:paraId="03D0C097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3 676</w:t>
            </w:r>
          </w:p>
          <w:p w14:paraId="7A791334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3 482</w:t>
            </w:r>
          </w:p>
          <w:p w14:paraId="11E2B47E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2 715</w:t>
            </w:r>
          </w:p>
        </w:tc>
        <w:tc>
          <w:tcPr>
            <w:tcW w:w="1220" w:type="dxa"/>
          </w:tcPr>
          <w:p w14:paraId="41331054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3 536</w:t>
            </w:r>
          </w:p>
          <w:p w14:paraId="5F063617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C55E674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3 103</w:t>
            </w:r>
          </w:p>
          <w:p w14:paraId="5676984D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3 871</w:t>
            </w:r>
          </w:p>
          <w:p w14:paraId="1EBDA99A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3 667</w:t>
            </w:r>
          </w:p>
          <w:p w14:paraId="6D203470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2 859</w:t>
            </w:r>
          </w:p>
        </w:tc>
      </w:tr>
      <w:tr w:rsidR="00DE09CC" w:rsidRPr="00DE09CC" w14:paraId="05360C63" w14:textId="77777777" w:rsidTr="002200AC">
        <w:tc>
          <w:tcPr>
            <w:tcW w:w="594" w:type="dxa"/>
          </w:tcPr>
          <w:p w14:paraId="1CE56C0D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068" w:type="dxa"/>
          </w:tcPr>
          <w:p w14:paraId="286EDF47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Індекс споживчих цін:</w:t>
            </w:r>
          </w:p>
          <w:p w14:paraId="4078753E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у середньому до попереднього року (%) </w:t>
            </w:r>
          </w:p>
        </w:tc>
        <w:tc>
          <w:tcPr>
            <w:tcW w:w="1252" w:type="dxa"/>
          </w:tcPr>
          <w:p w14:paraId="6836AC2E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47846B1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109,7</w:t>
            </w:r>
          </w:p>
        </w:tc>
        <w:tc>
          <w:tcPr>
            <w:tcW w:w="1387" w:type="dxa"/>
          </w:tcPr>
          <w:p w14:paraId="653CAFF1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436A0DE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107,1</w:t>
            </w:r>
          </w:p>
        </w:tc>
        <w:tc>
          <w:tcPr>
            <w:tcW w:w="1220" w:type="dxa"/>
          </w:tcPr>
          <w:p w14:paraId="1EC64934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7F32097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105,6</w:t>
            </w:r>
          </w:p>
        </w:tc>
      </w:tr>
      <w:tr w:rsidR="00DE09CC" w:rsidRPr="00DE09CC" w14:paraId="74115004" w14:textId="77777777" w:rsidTr="002200AC">
        <w:tc>
          <w:tcPr>
            <w:tcW w:w="594" w:type="dxa"/>
          </w:tcPr>
          <w:p w14:paraId="0585E90B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14:paraId="7D49EB83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грудень до грудня попереднього року (%)</w:t>
            </w:r>
          </w:p>
        </w:tc>
        <w:tc>
          <w:tcPr>
            <w:tcW w:w="1252" w:type="dxa"/>
          </w:tcPr>
          <w:p w14:paraId="17DCFA5A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108,6</w:t>
            </w:r>
          </w:p>
        </w:tc>
        <w:tc>
          <w:tcPr>
            <w:tcW w:w="1387" w:type="dxa"/>
          </w:tcPr>
          <w:p w14:paraId="137D089E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105,9</w:t>
            </w:r>
          </w:p>
        </w:tc>
        <w:tc>
          <w:tcPr>
            <w:tcW w:w="1220" w:type="dxa"/>
          </w:tcPr>
          <w:p w14:paraId="3EC05889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105,3</w:t>
            </w:r>
          </w:p>
        </w:tc>
      </w:tr>
      <w:tr w:rsidR="00DE09CC" w:rsidRPr="00DE09CC" w14:paraId="7A8A8414" w14:textId="77777777" w:rsidTr="002200AC">
        <w:tc>
          <w:tcPr>
            <w:tcW w:w="594" w:type="dxa"/>
          </w:tcPr>
          <w:p w14:paraId="573797E5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5.</w:t>
            </w:r>
          </w:p>
        </w:tc>
        <w:tc>
          <w:tcPr>
            <w:tcW w:w="5068" w:type="dxa"/>
          </w:tcPr>
          <w:p w14:paraId="0ACB225B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Індекс цін виробників промислової продукції </w:t>
            </w:r>
          </w:p>
          <w:p w14:paraId="2DF1C1B2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грудень до грудня попереднього року (%)</w:t>
            </w:r>
          </w:p>
        </w:tc>
        <w:tc>
          <w:tcPr>
            <w:tcW w:w="1252" w:type="dxa"/>
          </w:tcPr>
          <w:p w14:paraId="2EA08BD4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0210667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DFF74B5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111,3</w:t>
            </w:r>
          </w:p>
        </w:tc>
        <w:tc>
          <w:tcPr>
            <w:tcW w:w="1387" w:type="dxa"/>
          </w:tcPr>
          <w:p w14:paraId="7C2D350B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D58D969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4997913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109,4</w:t>
            </w:r>
          </w:p>
        </w:tc>
        <w:tc>
          <w:tcPr>
            <w:tcW w:w="1220" w:type="dxa"/>
          </w:tcPr>
          <w:p w14:paraId="0EC67EFC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0023C0C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0C68289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107,9</w:t>
            </w:r>
          </w:p>
        </w:tc>
      </w:tr>
      <w:tr w:rsidR="00DE09CC" w:rsidRPr="00DE09CC" w14:paraId="726349FA" w14:textId="77777777" w:rsidTr="002200AC">
        <w:tc>
          <w:tcPr>
            <w:tcW w:w="594" w:type="dxa"/>
          </w:tcPr>
          <w:p w14:paraId="2EF9E9F4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en-US"/>
              </w:rPr>
              <w:t xml:space="preserve">  6</w:t>
            </w:r>
            <w:r w:rsidRPr="00DE09C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68" w:type="dxa"/>
          </w:tcPr>
          <w:p w14:paraId="449104B1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Індекс цін на енергоносії (%)</w:t>
            </w:r>
          </w:p>
        </w:tc>
        <w:tc>
          <w:tcPr>
            <w:tcW w:w="1252" w:type="dxa"/>
          </w:tcPr>
          <w:p w14:paraId="0A6DC5FB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112,6</w:t>
            </w:r>
          </w:p>
        </w:tc>
        <w:tc>
          <w:tcPr>
            <w:tcW w:w="1387" w:type="dxa"/>
          </w:tcPr>
          <w:p w14:paraId="3050F332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109,8</w:t>
            </w:r>
          </w:p>
        </w:tc>
        <w:tc>
          <w:tcPr>
            <w:tcW w:w="1220" w:type="dxa"/>
          </w:tcPr>
          <w:p w14:paraId="2C8E83CE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108,0</w:t>
            </w:r>
          </w:p>
        </w:tc>
      </w:tr>
    </w:tbl>
    <w:p w14:paraId="6619FB59" w14:textId="77777777" w:rsidR="00DE09CC" w:rsidRPr="00DE09CC" w:rsidRDefault="00DE09CC" w:rsidP="00DE09CC">
      <w:pPr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DCC650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Прогноз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спрямований на реалізацію цілей державної політики у всіх її сферах, забезпечення пріоритетних напрямків розвитку територіальної громади та виконання завдань місцевих галузевих програм, що забезпечують вирішення нагальних проблем жителів територіальної громади.</w:t>
      </w:r>
    </w:p>
    <w:p w14:paraId="754C2291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09E75A" w14:textId="1BCB227E" w:rsidR="00DE09CC" w:rsidRPr="00DE09CC" w:rsidRDefault="00DE09CC" w:rsidP="00DE09CC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  <w:lang w:val="uk-UA"/>
        </w:rPr>
        <w:t>ІІІ. Загальні показники бюджету</w:t>
      </w:r>
    </w:p>
    <w:p w14:paraId="3EFD344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Прогноз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 територіальної громади включає показники за основними видами доходів, видатків, кредитування та фінансування, взаємовідносин бюджету громади з бюджетами інших рівнів.</w:t>
      </w:r>
    </w:p>
    <w:p w14:paraId="12CB2D5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</w:rPr>
        <w:lastRenderedPageBreak/>
        <w:t xml:space="preserve">При </w:t>
      </w:r>
      <w:proofErr w:type="spellStart"/>
      <w:r w:rsidRPr="00DE09CC">
        <w:rPr>
          <w:rFonts w:ascii="Times New Roman" w:hAnsi="Times New Roman"/>
          <w:sz w:val="28"/>
          <w:szCs w:val="28"/>
        </w:rPr>
        <w:t>розрахунку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прогнозних </w:t>
      </w:r>
      <w:proofErr w:type="spellStart"/>
      <w:r w:rsidRPr="00DE09CC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E09CC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Pr="00DE09CC">
        <w:rPr>
          <w:rFonts w:ascii="Times New Roman" w:hAnsi="Times New Roman"/>
          <w:sz w:val="28"/>
          <w:szCs w:val="28"/>
        </w:rPr>
        <w:t xml:space="preserve"> 202</w:t>
      </w:r>
      <w:r w:rsidRPr="00DE09CC">
        <w:rPr>
          <w:rFonts w:ascii="Times New Roman" w:hAnsi="Times New Roman"/>
          <w:sz w:val="28"/>
          <w:szCs w:val="28"/>
          <w:lang w:val="uk-UA"/>
        </w:rPr>
        <w:t>6</w:t>
      </w:r>
      <w:r w:rsidRPr="00DE09CC">
        <w:rPr>
          <w:rFonts w:ascii="Times New Roman" w:hAnsi="Times New Roman"/>
          <w:sz w:val="28"/>
          <w:szCs w:val="28"/>
        </w:rPr>
        <w:t>-202</w:t>
      </w:r>
      <w:r w:rsidRPr="00DE09CC">
        <w:rPr>
          <w:rFonts w:ascii="Times New Roman" w:hAnsi="Times New Roman"/>
          <w:sz w:val="28"/>
          <w:szCs w:val="28"/>
          <w:lang w:val="uk-UA"/>
        </w:rPr>
        <w:t>8</w:t>
      </w:r>
      <w:r w:rsidRPr="00DE09CC">
        <w:rPr>
          <w:rFonts w:ascii="Times New Roman" w:hAnsi="Times New Roman"/>
          <w:sz w:val="28"/>
          <w:szCs w:val="28"/>
        </w:rPr>
        <w:t xml:space="preserve"> роки </w:t>
      </w:r>
      <w:proofErr w:type="spellStart"/>
      <w:r w:rsidRPr="00DE09CC">
        <w:rPr>
          <w:rFonts w:ascii="Times New Roman" w:hAnsi="Times New Roman"/>
          <w:sz w:val="28"/>
          <w:szCs w:val="28"/>
        </w:rPr>
        <w:t>враховано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: </w:t>
      </w:r>
    </w:p>
    <w:p w14:paraId="1796EFCC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1. Діючі н</w:t>
      </w:r>
      <w:proofErr w:type="spellStart"/>
      <w:r w:rsidRPr="00DE09CC">
        <w:rPr>
          <w:rFonts w:ascii="Times New Roman" w:hAnsi="Times New Roman"/>
          <w:sz w:val="28"/>
          <w:szCs w:val="28"/>
        </w:rPr>
        <w:t>орми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податкового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та бюджетного </w:t>
      </w:r>
      <w:proofErr w:type="spellStart"/>
      <w:r w:rsidRPr="00DE09CC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, зокрема:</w:t>
      </w:r>
      <w:r w:rsidRPr="00DE09CC">
        <w:rPr>
          <w:rFonts w:ascii="Times New Roman" w:hAnsi="Times New Roman"/>
          <w:sz w:val="28"/>
          <w:szCs w:val="28"/>
        </w:rPr>
        <w:t xml:space="preserve"> </w:t>
      </w:r>
    </w:p>
    <w:p w14:paraId="147A1764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відновлення нормативу зарахування до місцевого бюджету податку на доходи фізичних осіб у розмірі 60 відсотків з основної ставки податку;</w:t>
      </w:r>
    </w:p>
    <w:p w14:paraId="2AE0063C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збереження розподілу  акцизу з пального між державним та місцевими бюджетами, а саме - зарахування 13,44 відсотка такого податку до бюджету територіальної громади. </w:t>
      </w:r>
      <w:r w:rsidRPr="00DE09CC">
        <w:rPr>
          <w:rFonts w:ascii="Times New Roman" w:hAnsi="Times New Roman"/>
          <w:sz w:val="28"/>
          <w:szCs w:val="28"/>
        </w:rPr>
        <w:t xml:space="preserve"> </w:t>
      </w:r>
    </w:p>
    <w:p w14:paraId="6F5BFA65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2. Стратегія розвитку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до 2027 року.</w:t>
      </w:r>
    </w:p>
    <w:p w14:paraId="36A1E349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3. Основні прогнозні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макропоказники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 економічного і соціального розвитку територіальної громади на 2026-2028 роки, що базуються на основних прогнозних показниках визначених  Бюджетною декларацією на середньостроковий період, у тому числі :</w:t>
      </w:r>
    </w:p>
    <w:p w14:paraId="7B994540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прогнозного розміру  мінімальної заробітної плати ;</w:t>
      </w:r>
    </w:p>
    <w:p w14:paraId="4202B15E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прогнозного розміру посадового окладу працівника І тарифного розряду Єдиної тарифної сітки;</w:t>
      </w:r>
    </w:p>
    <w:p w14:paraId="7C5B4C6B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прогнозного прожиткового мінімуму на одну особу;</w:t>
      </w:r>
    </w:p>
    <w:p w14:paraId="558FACF1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індексу споживчих цін та цін виробників промислової продукції.</w:t>
      </w:r>
    </w:p>
    <w:p w14:paraId="03EA6E00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Першочергово враховано прогнозні обсяги видатків, які будуть спрямовуватися на забезпечення належного  та безперебійного функціонування закладів бюджетної сфери, забезпечення оплати праці працівників закладів бюджетної сфери, оплату комунальних послуг і енергоносіїв, надання встановлених  соціальних гарантій для малозабезпечених категорій громадян, підтримку соціально-вразливих верств населення громади, надання відповідної соціальної підтримки тим, хто її потребує, підтримку в належному стані житлово-комунального господарства, інших об’єктів інфраструктури, впровадження заходів з енергозбереження  та на реалізацію заходів місцевих регіональних програм.</w:t>
      </w:r>
    </w:p>
    <w:p w14:paraId="538A9E50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E09CC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бюджету 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територіальної </w:t>
      </w:r>
      <w:proofErr w:type="gramStart"/>
      <w:r w:rsidRPr="00DE09CC">
        <w:rPr>
          <w:rFonts w:ascii="Times New Roman" w:hAnsi="Times New Roman"/>
          <w:sz w:val="28"/>
          <w:szCs w:val="28"/>
          <w:lang w:val="uk-UA"/>
        </w:rPr>
        <w:t>громади на</w:t>
      </w:r>
      <w:proofErr w:type="gramEnd"/>
      <w:r w:rsidRPr="00DE09CC">
        <w:rPr>
          <w:rFonts w:ascii="Times New Roman" w:hAnsi="Times New Roman"/>
          <w:sz w:val="28"/>
          <w:szCs w:val="28"/>
          <w:lang w:val="uk-UA"/>
        </w:rPr>
        <w:t xml:space="preserve"> 2026-2028 роки </w:t>
      </w:r>
      <w:r w:rsidRPr="00DE09CC">
        <w:rPr>
          <w:rFonts w:ascii="Times New Roman" w:hAnsi="Times New Roman"/>
          <w:sz w:val="28"/>
          <w:szCs w:val="28"/>
        </w:rPr>
        <w:t xml:space="preserve">наведено в </w:t>
      </w:r>
      <w:proofErr w:type="spellStart"/>
      <w:r w:rsidRPr="00DE09CC">
        <w:rPr>
          <w:rFonts w:ascii="Times New Roman" w:hAnsi="Times New Roman"/>
          <w:sz w:val="28"/>
          <w:szCs w:val="28"/>
        </w:rPr>
        <w:t>додатку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1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до цього прогнозу.</w:t>
      </w:r>
      <w:r w:rsidRPr="00DE09CC">
        <w:rPr>
          <w:rFonts w:ascii="Times New Roman" w:hAnsi="Times New Roman"/>
          <w:sz w:val="28"/>
          <w:szCs w:val="28"/>
        </w:rPr>
        <w:t xml:space="preserve"> </w:t>
      </w:r>
    </w:p>
    <w:p w14:paraId="07E83244" w14:textId="77777777" w:rsidR="00DE09CC" w:rsidRPr="00DE09CC" w:rsidRDefault="00DE09CC" w:rsidP="00DE09CC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6D2CC5" w14:textId="711DB58F" w:rsidR="00DE09CC" w:rsidRPr="00DE09CC" w:rsidRDefault="00DE09CC" w:rsidP="00DE09CC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. Показники доходів бюджету</w:t>
      </w:r>
    </w:p>
    <w:p w14:paraId="1F5B676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Прогноз доходів бюджету територіальної громади розроблено на основі норм чинного Бюджетного та Податкового кодексів України, інших законодавчих та нормативних актів. </w:t>
      </w:r>
    </w:p>
    <w:p w14:paraId="109A61C4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lastRenderedPageBreak/>
        <w:t xml:space="preserve">Обсяг дохідної частини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прогнозується в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471 828 170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із них: </w:t>
      </w:r>
    </w:p>
    <w:p w14:paraId="0DA5480A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Доходи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(без урахування міжбюджетних трансфертів) –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261 450 370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в т.ч.: </w:t>
      </w:r>
    </w:p>
    <w:p w14:paraId="18C96514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податкові надходження – 243 651 100 грн.,</w:t>
      </w:r>
    </w:p>
    <w:p w14:paraId="013761A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неподаткові надходження – 5 005 000 грн., </w:t>
      </w:r>
    </w:p>
    <w:p w14:paraId="40038E1E" w14:textId="4B8A78F3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доходи від операцій з капіталом –4 500 000 грн., </w:t>
      </w:r>
    </w:p>
    <w:p w14:paraId="636FE419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Трансферти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з державного бюджету –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206 266 600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у тому числі:</w:t>
      </w:r>
    </w:p>
    <w:p w14:paraId="568E6CB2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базова дотація – 54 759 700 грн.;</w:t>
      </w:r>
    </w:p>
    <w:p w14:paraId="30ECCBCC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- освітня субвенція з державного бюджету місцевим бюджетам –     151 506 900 грн.;</w:t>
      </w:r>
    </w:p>
    <w:p w14:paraId="07531081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204859344"/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Додаткова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дотація з місцевого бюджету на здійснення переданих з державного бюджету видатків з утримання закладів освіти та охорони здоров’я за рахунок відповідної дотації з  державного бюджету – 899 700 грн. </w:t>
      </w:r>
    </w:p>
    <w:bookmarkEnd w:id="0"/>
    <w:p w14:paraId="18ACCB9B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Обсяг дохідної частини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2027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прогнозується в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504 906 954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із них:</w:t>
      </w:r>
    </w:p>
    <w:p w14:paraId="380BA943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Доходи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(без урахування міжбюджетних трансфертів) –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276 788 354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 грн., в т.ч. :</w:t>
      </w:r>
    </w:p>
    <w:p w14:paraId="326952C5" w14:textId="77777777" w:rsidR="00DE09CC" w:rsidRPr="00DE09CC" w:rsidRDefault="00DE09CC" w:rsidP="00DE09CC">
      <w:pPr>
        <w:pStyle w:val="ac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>податкові надходження – 260 376 200 грн.,</w:t>
      </w:r>
    </w:p>
    <w:p w14:paraId="0D992AD5" w14:textId="77777777" w:rsidR="00DE09CC" w:rsidRPr="00DE09CC" w:rsidRDefault="00DE09CC" w:rsidP="00DE09CC">
      <w:pPr>
        <w:pStyle w:val="ac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неподаткові надходження – 5 105 000 грн., </w:t>
      </w:r>
    </w:p>
    <w:p w14:paraId="3279B374" w14:textId="4EC975F9" w:rsidR="00DE09CC" w:rsidRPr="00DE09CC" w:rsidRDefault="00DE09CC" w:rsidP="00BE549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  доходи від операцій з капіталом – 2 500 000 грн.,            </w:t>
      </w:r>
    </w:p>
    <w:p w14:paraId="01E63E7D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Трансферти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з державного бюджету –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223 755 600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у тому числі :</w:t>
      </w:r>
    </w:p>
    <w:p w14:paraId="78F7F09D" w14:textId="77777777" w:rsidR="00DE09CC" w:rsidRPr="00DE09CC" w:rsidRDefault="00DE09CC" w:rsidP="00DE09CC">
      <w:pPr>
        <w:pStyle w:val="ac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>базова дотація – 60 285 300 грн.;</w:t>
      </w:r>
    </w:p>
    <w:p w14:paraId="5AD6A182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 освітня субвенція з державного бюджету місцевим бюджетам –    163 470 300 грн.; </w:t>
      </w:r>
    </w:p>
    <w:p w14:paraId="76FEED56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204859879"/>
      <w:r w:rsidRPr="00DE09CC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 Додаткова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дотація з місцевого бюджету на здійснення переданих з державного бюджету видатків з утримання закладів освіти та охорони здоров’я за рахунок відповідної дотації з  державного бюджету –  899 700 грн. </w:t>
      </w:r>
      <w:bookmarkEnd w:id="1"/>
    </w:p>
    <w:p w14:paraId="2CE3F8C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Обсяг дохідної частини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2028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прогнозується в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574 934 269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із них:</w:t>
      </w:r>
    </w:p>
    <w:p w14:paraId="40CB996C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 Доходи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(без урахування міжбюджетних трансфертів) –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294 064 069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у т.ч. :</w:t>
      </w:r>
    </w:p>
    <w:p w14:paraId="5DC9A7BD" w14:textId="77777777" w:rsidR="00DE09CC" w:rsidRPr="00DE09CC" w:rsidRDefault="00DE09CC" w:rsidP="00DE09CC">
      <w:pPr>
        <w:pStyle w:val="ac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податкові надходження –  277 061 300 грн., </w:t>
      </w:r>
    </w:p>
    <w:p w14:paraId="1C34DFE5" w14:textId="77777777" w:rsidR="00DE09CC" w:rsidRPr="00DE09CC" w:rsidRDefault="00DE09CC" w:rsidP="00DE09CC">
      <w:pPr>
        <w:pStyle w:val="ac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неподаткові надходження – 5 205 000 грн., </w:t>
      </w:r>
    </w:p>
    <w:p w14:paraId="05B99422" w14:textId="21BFAD19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  доходи від операцій з капіталом – 2 500 000 грн., </w:t>
      </w:r>
    </w:p>
    <w:p w14:paraId="3B7487D0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Трансферти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з державного бюджету –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276 255 700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у тому числі:</w:t>
      </w:r>
    </w:p>
    <w:p w14:paraId="008AF788" w14:textId="77777777" w:rsidR="00DE09CC" w:rsidRPr="00DE09CC" w:rsidRDefault="00DE09CC" w:rsidP="00DE09CC">
      <w:pPr>
        <w:pStyle w:val="ac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>базова дотація – 100 822 100 грн.;</w:t>
      </w:r>
    </w:p>
    <w:p w14:paraId="6E46BC06" w14:textId="77777777" w:rsidR="00DE09CC" w:rsidRPr="00DE09CC" w:rsidRDefault="00DE09CC" w:rsidP="00DE09CC">
      <w:pPr>
        <w:pStyle w:val="ac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>освітня субвенція з державного бюджету місцевим бюджетам – 175 433 600  грн.,</w:t>
      </w:r>
    </w:p>
    <w:p w14:paraId="2AA8250C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Додаткова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дотація з місцевого бюджету на здійснення переданих з державного бюджету видатків з утримання закладів освіти та охорони здоров’я за рахунок відповідної дотації з  державного бюджету –  899 400 грн. </w:t>
      </w:r>
    </w:p>
    <w:p w14:paraId="0FA20DC3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При прогнозуванні обсягу доходів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2026-2028 роки враховано:</w:t>
      </w:r>
    </w:p>
    <w:p w14:paraId="56F6A17E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- фактичні показники стану виконання доходів міського бюджету та  економічного і соціального розвитку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за 2024 рік;</w:t>
      </w:r>
    </w:p>
    <w:p w14:paraId="4E9E4CB1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- очікувані показники стану виконання доходів міського бюджету та економічного і соціального розвитку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за 2025 рік; </w:t>
      </w:r>
    </w:p>
    <w:p w14:paraId="29F10E0D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прогнозні показники надходжень податків і зборів до міського бюджету та плану економічного і соціального розвитку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2026-2028 роки; </w:t>
      </w:r>
    </w:p>
    <w:p w14:paraId="1FB4C3D8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застосування чинних ставок загальнодержавних податків; </w:t>
      </w:r>
    </w:p>
    <w:p w14:paraId="74C9F501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підвищення розміру прожиткового мінімуму, мінімальної заробітної плати та посадового окладу (тарифної ставки) працівника </w:t>
      </w:r>
      <w:r w:rsidRPr="00DE09CC">
        <w:rPr>
          <w:rFonts w:ascii="Times New Roman" w:hAnsi="Times New Roman"/>
          <w:sz w:val="28"/>
          <w:szCs w:val="28"/>
        </w:rPr>
        <w:t>I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тарифного розряду Єдиної тарифної сітки; </w:t>
      </w:r>
    </w:p>
    <w:p w14:paraId="02C928C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застосування ставок місцевих податків, встановлених рішеннями 6 сесії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Pr="00DE09CC">
        <w:rPr>
          <w:rFonts w:ascii="Times New Roman" w:hAnsi="Times New Roman"/>
          <w:sz w:val="28"/>
          <w:szCs w:val="28"/>
        </w:rPr>
        <w:t>V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ІІІ скликання від 14.07.2021 № 1029, 1030, 1031, 1032 та 37 сесії 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Pr="00DE09CC">
        <w:rPr>
          <w:rFonts w:ascii="Times New Roman" w:hAnsi="Times New Roman"/>
          <w:sz w:val="28"/>
          <w:szCs w:val="28"/>
        </w:rPr>
        <w:t>V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ІІІ скликання від 11.07 2024р. № 3459 про встановлення місцевих податків та зборів; </w:t>
      </w:r>
    </w:p>
    <w:p w14:paraId="7A2DB55A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прогнозні втрати бюджету територіальної громади внаслідок надання пільг зі сплати земельного податку;</w:t>
      </w:r>
    </w:p>
    <w:p w14:paraId="469328D8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- зміни місцезнаходження суб’єктів господарювання-платників податків; </w:t>
      </w:r>
    </w:p>
    <w:p w14:paraId="1692CD7F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фактичне виконання дохідної частини бюджету міської територіальної громади за результатами першого півріччя  2025 року. </w:t>
      </w:r>
    </w:p>
    <w:p w14:paraId="18E2519D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З урахуванням прогнозу основних макроекономічних показників економічного та соціального розвитку країни, динаміки бази оподаткування, ефективності податкового адміністрування, загальні показники доходів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2026-2028 роки, у порівнянні з попереднім та поточним бюджетними періодами, зростають.</w:t>
      </w:r>
    </w:p>
    <w:p w14:paraId="3D61AAA9" w14:textId="77777777" w:rsidR="00DE09CC" w:rsidRPr="00DE09CC" w:rsidRDefault="00DE09CC" w:rsidP="00DE09CC">
      <w:pPr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6DCD8D4" w14:textId="77777777" w:rsidR="00DE09CC" w:rsidRPr="00DE09CC" w:rsidRDefault="00DE09CC" w:rsidP="00DE09CC">
      <w:pPr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i/>
          <w:sz w:val="28"/>
          <w:szCs w:val="28"/>
          <w:lang w:val="uk-UA"/>
        </w:rPr>
        <w:t xml:space="preserve">Загальні показники доходів бюджету </w:t>
      </w:r>
      <w:proofErr w:type="spellStart"/>
      <w:r w:rsidRPr="00DE09CC">
        <w:rPr>
          <w:rFonts w:ascii="Times New Roman" w:hAnsi="Times New Roman"/>
          <w:b/>
          <w:i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територіальної громади на 2026-2028 роки</w:t>
      </w:r>
    </w:p>
    <w:p w14:paraId="41772923" w14:textId="77777777" w:rsidR="00DE09CC" w:rsidRPr="00DE09CC" w:rsidRDefault="00DE09CC" w:rsidP="00DE09CC">
      <w:pPr>
        <w:ind w:firstLine="708"/>
        <w:jc w:val="right"/>
        <w:rPr>
          <w:rFonts w:ascii="Times New Roman" w:hAnsi="Times New Roman"/>
          <w:sz w:val="20"/>
          <w:szCs w:val="20"/>
          <w:lang w:val="uk-UA"/>
        </w:rPr>
      </w:pPr>
      <w:r w:rsidRPr="00DE09CC">
        <w:rPr>
          <w:rFonts w:ascii="Times New Roman" w:hAnsi="Times New Roman"/>
          <w:sz w:val="20"/>
          <w:szCs w:val="20"/>
          <w:lang w:val="uk-UA"/>
        </w:rPr>
        <w:t>(</w:t>
      </w:r>
      <w:proofErr w:type="spellStart"/>
      <w:r w:rsidRPr="00DE09CC">
        <w:rPr>
          <w:rFonts w:ascii="Times New Roman" w:hAnsi="Times New Roman"/>
          <w:sz w:val="20"/>
          <w:szCs w:val="20"/>
          <w:lang w:val="uk-UA"/>
        </w:rPr>
        <w:t>тис.грн</w:t>
      </w:r>
      <w:proofErr w:type="spellEnd"/>
      <w:r w:rsidRPr="00DE09CC">
        <w:rPr>
          <w:rFonts w:ascii="Times New Roman" w:hAnsi="Times New Roman"/>
          <w:sz w:val="20"/>
          <w:szCs w:val="20"/>
          <w:lang w:val="uk-UA"/>
        </w:rPr>
        <w:t>.)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1709"/>
        <w:gridCol w:w="1039"/>
        <w:gridCol w:w="1004"/>
        <w:gridCol w:w="577"/>
        <w:gridCol w:w="1039"/>
        <w:gridCol w:w="1006"/>
        <w:gridCol w:w="680"/>
        <w:gridCol w:w="992"/>
        <w:gridCol w:w="993"/>
        <w:gridCol w:w="567"/>
      </w:tblGrid>
      <w:tr w:rsidR="00DE09CC" w:rsidRPr="00DE09CC" w14:paraId="12B6B6ED" w14:textId="77777777" w:rsidTr="002200AC">
        <w:tc>
          <w:tcPr>
            <w:tcW w:w="1709" w:type="dxa"/>
            <w:vMerge w:val="restart"/>
          </w:tcPr>
          <w:p w14:paraId="137201AE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Найменування показника</w:t>
            </w:r>
          </w:p>
        </w:tc>
        <w:tc>
          <w:tcPr>
            <w:tcW w:w="2620" w:type="dxa"/>
            <w:gridSpan w:val="3"/>
          </w:tcPr>
          <w:p w14:paraId="17B71B26" w14:textId="77777777" w:rsidR="00DE09CC" w:rsidRPr="00DE09CC" w:rsidRDefault="00DE09CC" w:rsidP="002200AC">
            <w:pPr>
              <w:jc w:val="center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2026 рік</w:t>
            </w:r>
          </w:p>
        </w:tc>
        <w:tc>
          <w:tcPr>
            <w:tcW w:w="2725" w:type="dxa"/>
            <w:gridSpan w:val="3"/>
          </w:tcPr>
          <w:p w14:paraId="6699375A" w14:textId="77777777" w:rsidR="00DE09CC" w:rsidRPr="00DE09CC" w:rsidRDefault="00DE09CC" w:rsidP="002200AC">
            <w:pPr>
              <w:jc w:val="center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2027 рік</w:t>
            </w:r>
          </w:p>
        </w:tc>
        <w:tc>
          <w:tcPr>
            <w:tcW w:w="2552" w:type="dxa"/>
            <w:gridSpan w:val="3"/>
          </w:tcPr>
          <w:p w14:paraId="1EED5A87" w14:textId="77777777" w:rsidR="00DE09CC" w:rsidRPr="00DE09CC" w:rsidRDefault="00DE09CC" w:rsidP="002200AC">
            <w:pPr>
              <w:jc w:val="center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2028 рік</w:t>
            </w:r>
          </w:p>
        </w:tc>
      </w:tr>
      <w:tr w:rsidR="00DE09CC" w:rsidRPr="00DE09CC" w14:paraId="1659BF83" w14:textId="77777777" w:rsidTr="002200AC">
        <w:tc>
          <w:tcPr>
            <w:tcW w:w="1709" w:type="dxa"/>
            <w:vMerge/>
          </w:tcPr>
          <w:p w14:paraId="06945953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39" w:type="dxa"/>
            <w:vMerge w:val="restart"/>
          </w:tcPr>
          <w:p w14:paraId="0433739D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Прогноз</w:t>
            </w:r>
          </w:p>
        </w:tc>
        <w:tc>
          <w:tcPr>
            <w:tcW w:w="1581" w:type="dxa"/>
            <w:gridSpan w:val="2"/>
          </w:tcPr>
          <w:p w14:paraId="44E6F2D3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Відхилення до попереднього року (план)</w:t>
            </w:r>
          </w:p>
        </w:tc>
        <w:tc>
          <w:tcPr>
            <w:tcW w:w="1039" w:type="dxa"/>
            <w:vMerge w:val="restart"/>
          </w:tcPr>
          <w:p w14:paraId="6AFE699B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Прогноз</w:t>
            </w:r>
          </w:p>
        </w:tc>
        <w:tc>
          <w:tcPr>
            <w:tcW w:w="1686" w:type="dxa"/>
            <w:gridSpan w:val="2"/>
          </w:tcPr>
          <w:p w14:paraId="3D266129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Відхилення до попереднього року</w:t>
            </w:r>
          </w:p>
        </w:tc>
        <w:tc>
          <w:tcPr>
            <w:tcW w:w="992" w:type="dxa"/>
            <w:vMerge w:val="restart"/>
          </w:tcPr>
          <w:p w14:paraId="046A337F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Прогноз</w:t>
            </w:r>
          </w:p>
        </w:tc>
        <w:tc>
          <w:tcPr>
            <w:tcW w:w="1560" w:type="dxa"/>
            <w:gridSpan w:val="2"/>
          </w:tcPr>
          <w:p w14:paraId="79463B31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Відхилення до попереднього року</w:t>
            </w:r>
          </w:p>
        </w:tc>
      </w:tr>
      <w:tr w:rsidR="00DE09CC" w:rsidRPr="00DE09CC" w14:paraId="6D222EC6" w14:textId="77777777" w:rsidTr="002200AC">
        <w:tc>
          <w:tcPr>
            <w:tcW w:w="1709" w:type="dxa"/>
            <w:vMerge/>
          </w:tcPr>
          <w:p w14:paraId="0C14D00C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39" w:type="dxa"/>
            <w:vMerge/>
          </w:tcPr>
          <w:p w14:paraId="157E0C77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04" w:type="dxa"/>
          </w:tcPr>
          <w:p w14:paraId="1FB0FC3C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 xml:space="preserve">   +/-</w:t>
            </w:r>
          </w:p>
        </w:tc>
        <w:tc>
          <w:tcPr>
            <w:tcW w:w="577" w:type="dxa"/>
          </w:tcPr>
          <w:p w14:paraId="63C95CD1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%</w:t>
            </w:r>
          </w:p>
        </w:tc>
        <w:tc>
          <w:tcPr>
            <w:tcW w:w="1039" w:type="dxa"/>
            <w:vMerge/>
          </w:tcPr>
          <w:p w14:paraId="3EFAA1A8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06" w:type="dxa"/>
          </w:tcPr>
          <w:p w14:paraId="30187ACE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 xml:space="preserve">   +/-</w:t>
            </w:r>
          </w:p>
        </w:tc>
        <w:tc>
          <w:tcPr>
            <w:tcW w:w="680" w:type="dxa"/>
          </w:tcPr>
          <w:p w14:paraId="362C0355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%</w:t>
            </w:r>
          </w:p>
        </w:tc>
        <w:tc>
          <w:tcPr>
            <w:tcW w:w="992" w:type="dxa"/>
            <w:vMerge/>
          </w:tcPr>
          <w:p w14:paraId="5188AD31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14:paraId="03691E6D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 xml:space="preserve">  +/-</w:t>
            </w:r>
          </w:p>
        </w:tc>
        <w:tc>
          <w:tcPr>
            <w:tcW w:w="567" w:type="dxa"/>
          </w:tcPr>
          <w:p w14:paraId="72C0E51B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>%</w:t>
            </w:r>
          </w:p>
        </w:tc>
      </w:tr>
      <w:tr w:rsidR="00DE09CC" w:rsidRPr="00DE09CC" w14:paraId="0077B9E3" w14:textId="77777777" w:rsidTr="002200AC">
        <w:tc>
          <w:tcPr>
            <w:tcW w:w="1709" w:type="dxa"/>
          </w:tcPr>
          <w:p w14:paraId="53694668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r w:rsidRPr="00DE09CC">
              <w:rPr>
                <w:b/>
                <w:lang w:val="uk-UA"/>
              </w:rPr>
              <w:t xml:space="preserve">Бюджет </w:t>
            </w:r>
            <w:proofErr w:type="spellStart"/>
            <w:r w:rsidRPr="00DE09CC">
              <w:rPr>
                <w:b/>
                <w:lang w:val="uk-UA"/>
              </w:rPr>
              <w:t>Іршавської</w:t>
            </w:r>
            <w:proofErr w:type="spellEnd"/>
            <w:r w:rsidRPr="00DE09CC">
              <w:rPr>
                <w:b/>
                <w:lang w:val="uk-UA"/>
              </w:rPr>
              <w:t xml:space="preserve"> міської територіальної громади (без </w:t>
            </w:r>
            <w:proofErr w:type="spellStart"/>
            <w:r w:rsidRPr="00DE09CC">
              <w:rPr>
                <w:b/>
                <w:lang w:val="uk-UA"/>
              </w:rPr>
              <w:t>урах</w:t>
            </w:r>
            <w:proofErr w:type="spellEnd"/>
            <w:r w:rsidRPr="00DE09CC">
              <w:rPr>
                <w:b/>
                <w:lang w:val="uk-UA"/>
              </w:rPr>
              <w:t>. трансфертів) в т.ч.</w:t>
            </w:r>
          </w:p>
        </w:tc>
        <w:tc>
          <w:tcPr>
            <w:tcW w:w="1039" w:type="dxa"/>
          </w:tcPr>
          <w:p w14:paraId="08BEF3F4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261 450,4</w:t>
            </w:r>
          </w:p>
        </w:tc>
        <w:tc>
          <w:tcPr>
            <w:tcW w:w="1004" w:type="dxa"/>
          </w:tcPr>
          <w:p w14:paraId="20A187E6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+35 678,5</w:t>
            </w:r>
          </w:p>
          <w:p w14:paraId="6FE73521" w14:textId="77777777" w:rsidR="00DE09CC" w:rsidRPr="00DE09CC" w:rsidRDefault="00DE09CC" w:rsidP="002200AC">
            <w:pPr>
              <w:pStyle w:val="ac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77" w:type="dxa"/>
          </w:tcPr>
          <w:p w14:paraId="13EE2422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15,8</w:t>
            </w:r>
          </w:p>
        </w:tc>
        <w:tc>
          <w:tcPr>
            <w:tcW w:w="1039" w:type="dxa"/>
          </w:tcPr>
          <w:p w14:paraId="31ECEA78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276 788,4</w:t>
            </w:r>
          </w:p>
        </w:tc>
        <w:tc>
          <w:tcPr>
            <w:tcW w:w="1006" w:type="dxa"/>
          </w:tcPr>
          <w:p w14:paraId="68EBC752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+15 338,0</w:t>
            </w:r>
          </w:p>
        </w:tc>
        <w:tc>
          <w:tcPr>
            <w:tcW w:w="680" w:type="dxa"/>
          </w:tcPr>
          <w:p w14:paraId="384A8ACD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5,9</w:t>
            </w:r>
          </w:p>
        </w:tc>
        <w:tc>
          <w:tcPr>
            <w:tcW w:w="992" w:type="dxa"/>
          </w:tcPr>
          <w:p w14:paraId="1EBBB789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294 064,1</w:t>
            </w:r>
          </w:p>
        </w:tc>
        <w:tc>
          <w:tcPr>
            <w:tcW w:w="993" w:type="dxa"/>
          </w:tcPr>
          <w:p w14:paraId="227CCD2D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+17 275,7</w:t>
            </w:r>
          </w:p>
        </w:tc>
        <w:tc>
          <w:tcPr>
            <w:tcW w:w="567" w:type="dxa"/>
          </w:tcPr>
          <w:p w14:paraId="28D7F8FD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6,2</w:t>
            </w:r>
          </w:p>
        </w:tc>
      </w:tr>
      <w:tr w:rsidR="00DE09CC" w:rsidRPr="00DE09CC" w14:paraId="2D5A728B" w14:textId="77777777" w:rsidTr="002200AC">
        <w:tc>
          <w:tcPr>
            <w:tcW w:w="1709" w:type="dxa"/>
          </w:tcPr>
          <w:p w14:paraId="0C22E0E1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proofErr w:type="spellStart"/>
            <w:r w:rsidRPr="00DE09CC">
              <w:rPr>
                <w:b/>
                <w:lang w:val="uk-UA"/>
              </w:rPr>
              <w:t>-загальний</w:t>
            </w:r>
            <w:proofErr w:type="spellEnd"/>
            <w:r w:rsidRPr="00DE09CC">
              <w:rPr>
                <w:b/>
                <w:lang w:val="uk-UA"/>
              </w:rPr>
              <w:t xml:space="preserve"> фонд</w:t>
            </w:r>
          </w:p>
        </w:tc>
        <w:tc>
          <w:tcPr>
            <w:tcW w:w="1039" w:type="dxa"/>
          </w:tcPr>
          <w:p w14:paraId="3119E00C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248 656,1</w:t>
            </w:r>
          </w:p>
        </w:tc>
        <w:tc>
          <w:tcPr>
            <w:tcW w:w="1004" w:type="dxa"/>
          </w:tcPr>
          <w:p w14:paraId="48B4F633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+35 205,1</w:t>
            </w:r>
          </w:p>
          <w:p w14:paraId="6155EFCF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77" w:type="dxa"/>
          </w:tcPr>
          <w:p w14:paraId="38DDC24C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16,5</w:t>
            </w:r>
          </w:p>
        </w:tc>
        <w:tc>
          <w:tcPr>
            <w:tcW w:w="1039" w:type="dxa"/>
          </w:tcPr>
          <w:p w14:paraId="2E73BF3E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265 481,2</w:t>
            </w:r>
          </w:p>
        </w:tc>
        <w:tc>
          <w:tcPr>
            <w:tcW w:w="1006" w:type="dxa"/>
          </w:tcPr>
          <w:p w14:paraId="297C7B00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+16 825,1</w:t>
            </w:r>
          </w:p>
        </w:tc>
        <w:tc>
          <w:tcPr>
            <w:tcW w:w="680" w:type="dxa"/>
          </w:tcPr>
          <w:p w14:paraId="278781CC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6,7</w:t>
            </w:r>
          </w:p>
        </w:tc>
        <w:tc>
          <w:tcPr>
            <w:tcW w:w="992" w:type="dxa"/>
          </w:tcPr>
          <w:p w14:paraId="148B3DF0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282 266,3</w:t>
            </w:r>
          </w:p>
        </w:tc>
        <w:tc>
          <w:tcPr>
            <w:tcW w:w="993" w:type="dxa"/>
          </w:tcPr>
          <w:p w14:paraId="3CD3D6F6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+16 785,1</w:t>
            </w:r>
          </w:p>
        </w:tc>
        <w:tc>
          <w:tcPr>
            <w:tcW w:w="567" w:type="dxa"/>
          </w:tcPr>
          <w:p w14:paraId="25EA6CBE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6,3</w:t>
            </w:r>
          </w:p>
        </w:tc>
      </w:tr>
      <w:tr w:rsidR="00DE09CC" w:rsidRPr="00DE09CC" w14:paraId="658BDDC1" w14:textId="77777777" w:rsidTr="002200AC">
        <w:tc>
          <w:tcPr>
            <w:tcW w:w="1709" w:type="dxa"/>
          </w:tcPr>
          <w:p w14:paraId="01E8F6D9" w14:textId="77777777" w:rsidR="00DE09CC" w:rsidRPr="00DE09CC" w:rsidRDefault="00DE09CC" w:rsidP="002200AC">
            <w:pPr>
              <w:jc w:val="both"/>
              <w:rPr>
                <w:b/>
                <w:lang w:val="uk-UA"/>
              </w:rPr>
            </w:pPr>
            <w:proofErr w:type="spellStart"/>
            <w:r w:rsidRPr="00DE09CC">
              <w:rPr>
                <w:b/>
                <w:lang w:val="uk-UA"/>
              </w:rPr>
              <w:t>-спеціальний</w:t>
            </w:r>
            <w:proofErr w:type="spellEnd"/>
            <w:r w:rsidRPr="00DE09CC">
              <w:rPr>
                <w:b/>
                <w:lang w:val="uk-UA"/>
              </w:rPr>
              <w:t xml:space="preserve"> фонд</w:t>
            </w:r>
          </w:p>
        </w:tc>
        <w:tc>
          <w:tcPr>
            <w:tcW w:w="1039" w:type="dxa"/>
          </w:tcPr>
          <w:p w14:paraId="615286B9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 xml:space="preserve"> 12 794,3</w:t>
            </w:r>
          </w:p>
        </w:tc>
        <w:tc>
          <w:tcPr>
            <w:tcW w:w="1004" w:type="dxa"/>
          </w:tcPr>
          <w:p w14:paraId="36074146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 xml:space="preserve">  +473,5</w:t>
            </w:r>
          </w:p>
        </w:tc>
        <w:tc>
          <w:tcPr>
            <w:tcW w:w="577" w:type="dxa"/>
          </w:tcPr>
          <w:p w14:paraId="4F5FF1A5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3,8</w:t>
            </w:r>
          </w:p>
        </w:tc>
        <w:tc>
          <w:tcPr>
            <w:tcW w:w="1039" w:type="dxa"/>
          </w:tcPr>
          <w:p w14:paraId="2EC63144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 xml:space="preserve">  11 307,2</w:t>
            </w:r>
          </w:p>
        </w:tc>
        <w:tc>
          <w:tcPr>
            <w:tcW w:w="1006" w:type="dxa"/>
          </w:tcPr>
          <w:p w14:paraId="045CCDE1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 xml:space="preserve"> -1 487,1</w:t>
            </w:r>
          </w:p>
        </w:tc>
        <w:tc>
          <w:tcPr>
            <w:tcW w:w="680" w:type="dxa"/>
          </w:tcPr>
          <w:p w14:paraId="7752F1D9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-11,6</w:t>
            </w:r>
          </w:p>
        </w:tc>
        <w:tc>
          <w:tcPr>
            <w:tcW w:w="992" w:type="dxa"/>
          </w:tcPr>
          <w:p w14:paraId="44150C1D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 xml:space="preserve">  11 797,8</w:t>
            </w:r>
          </w:p>
        </w:tc>
        <w:tc>
          <w:tcPr>
            <w:tcW w:w="993" w:type="dxa"/>
          </w:tcPr>
          <w:p w14:paraId="767E9F28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 xml:space="preserve">    +490,6</w:t>
            </w:r>
          </w:p>
        </w:tc>
        <w:tc>
          <w:tcPr>
            <w:tcW w:w="567" w:type="dxa"/>
          </w:tcPr>
          <w:p w14:paraId="72ACAD93" w14:textId="77777777" w:rsidR="00DE09CC" w:rsidRPr="00DE09CC" w:rsidRDefault="00DE09CC" w:rsidP="002200AC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DE09CC">
              <w:rPr>
                <w:b/>
                <w:sz w:val="18"/>
                <w:szCs w:val="18"/>
                <w:lang w:val="uk-UA"/>
              </w:rPr>
              <w:t>4,3</w:t>
            </w:r>
          </w:p>
        </w:tc>
      </w:tr>
    </w:tbl>
    <w:p w14:paraId="41C730F8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b/>
          <w:lang w:val="uk-UA"/>
        </w:rPr>
      </w:pPr>
    </w:p>
    <w:p w14:paraId="11AE7D9A" w14:textId="77777777" w:rsidR="00DE09CC" w:rsidRPr="00DE09CC" w:rsidRDefault="00DE09CC" w:rsidP="00DE09CC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Найбільшу питому вагу у  доходах загального фонду бюджету займатиме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податок та збір на доходи фізичних осіб.</w:t>
      </w:r>
    </w:p>
    <w:p w14:paraId="6E1538CF" w14:textId="77777777" w:rsidR="00DE09CC" w:rsidRPr="00DE09CC" w:rsidRDefault="00DE09CC" w:rsidP="00DE09CC">
      <w:pPr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F31626C" w14:textId="77777777" w:rsidR="00DE09CC" w:rsidRPr="00DE09CC" w:rsidRDefault="00DE09CC" w:rsidP="00DE09CC">
      <w:pPr>
        <w:ind w:firstLine="540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6499A16C" w14:textId="77777777" w:rsidR="00DE09CC" w:rsidRPr="00DE09CC" w:rsidRDefault="00DE09CC" w:rsidP="00DE09CC">
      <w:pPr>
        <w:ind w:firstLine="540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bCs/>
          <w:i/>
          <w:sz w:val="28"/>
          <w:szCs w:val="28"/>
          <w:lang w:val="uk-UA"/>
        </w:rPr>
        <w:t>Питома вага ПДФО у доходах  загального фонду (без урахування трансфертів)</w:t>
      </w:r>
    </w:p>
    <w:p w14:paraId="74D2A46B" w14:textId="77777777" w:rsidR="00DE09CC" w:rsidRPr="00DE09CC" w:rsidRDefault="00DE09CC" w:rsidP="00DE09CC">
      <w:pPr>
        <w:ind w:firstLine="540"/>
        <w:jc w:val="right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bCs/>
          <w:sz w:val="28"/>
          <w:szCs w:val="28"/>
          <w:lang w:val="uk-UA"/>
        </w:rPr>
        <w:t>(</w:t>
      </w:r>
      <w:proofErr w:type="spellStart"/>
      <w:r w:rsidRPr="00DE09CC">
        <w:rPr>
          <w:rFonts w:ascii="Times New Roman" w:hAnsi="Times New Roman"/>
          <w:bCs/>
          <w:sz w:val="28"/>
          <w:szCs w:val="28"/>
          <w:lang w:val="uk-UA"/>
        </w:rPr>
        <w:t>тис.грн</w:t>
      </w:r>
      <w:proofErr w:type="spellEnd"/>
      <w:r w:rsidRPr="00DE09CC">
        <w:rPr>
          <w:rFonts w:ascii="Times New Roman" w:hAnsi="Times New Roman"/>
          <w:bCs/>
          <w:sz w:val="28"/>
          <w:szCs w:val="28"/>
          <w:lang w:val="uk-UA"/>
        </w:rPr>
        <w:t>.)</w:t>
      </w: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3348"/>
        <w:gridCol w:w="2160"/>
        <w:gridCol w:w="2160"/>
        <w:gridCol w:w="2160"/>
      </w:tblGrid>
      <w:tr w:rsidR="00DE09CC" w:rsidRPr="00DE09CC" w14:paraId="1FB631E8" w14:textId="77777777" w:rsidTr="002200AC">
        <w:tc>
          <w:tcPr>
            <w:tcW w:w="3348" w:type="dxa"/>
          </w:tcPr>
          <w:p w14:paraId="4FFA8432" w14:textId="77777777" w:rsidR="00DE09CC" w:rsidRPr="00DE09CC" w:rsidRDefault="00DE09CC" w:rsidP="002200AC">
            <w:pPr>
              <w:ind w:firstLine="540"/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2160" w:type="dxa"/>
          </w:tcPr>
          <w:p w14:paraId="58AE5E96" w14:textId="77777777" w:rsidR="00DE09CC" w:rsidRPr="00DE09CC" w:rsidRDefault="00DE09CC" w:rsidP="002200AC">
            <w:pPr>
              <w:ind w:firstLine="540"/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160" w:type="dxa"/>
          </w:tcPr>
          <w:p w14:paraId="346F73F7" w14:textId="77777777" w:rsidR="00DE09CC" w:rsidRPr="00DE09CC" w:rsidRDefault="00DE09CC" w:rsidP="002200AC">
            <w:pPr>
              <w:ind w:firstLine="540"/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2160" w:type="dxa"/>
          </w:tcPr>
          <w:p w14:paraId="32C08B8B" w14:textId="77777777" w:rsidR="00DE09CC" w:rsidRPr="00DE09CC" w:rsidRDefault="00DE09CC" w:rsidP="002200AC">
            <w:pPr>
              <w:ind w:firstLine="540"/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2028 рік </w:t>
            </w:r>
          </w:p>
        </w:tc>
      </w:tr>
      <w:tr w:rsidR="00DE09CC" w:rsidRPr="00DE09CC" w14:paraId="69211DD7" w14:textId="77777777" w:rsidTr="002200AC">
        <w:tc>
          <w:tcPr>
            <w:tcW w:w="3348" w:type="dxa"/>
          </w:tcPr>
          <w:p w14:paraId="2BA56607" w14:textId="77777777" w:rsidR="00DE09CC" w:rsidRPr="00DE09CC" w:rsidRDefault="00DE09CC" w:rsidP="002200AC">
            <w:pPr>
              <w:ind w:right="-273"/>
              <w:rPr>
                <w:b/>
                <w:bCs/>
                <w:sz w:val="28"/>
                <w:szCs w:val="28"/>
                <w:lang w:val="uk-UA"/>
              </w:rPr>
            </w:pPr>
            <w:r w:rsidRPr="00DE09CC">
              <w:rPr>
                <w:b/>
                <w:bCs/>
                <w:sz w:val="28"/>
                <w:szCs w:val="28"/>
                <w:lang w:val="uk-UA"/>
              </w:rPr>
              <w:t>Загальний фонд, у т.ч.</w:t>
            </w:r>
          </w:p>
        </w:tc>
        <w:tc>
          <w:tcPr>
            <w:tcW w:w="2160" w:type="dxa"/>
          </w:tcPr>
          <w:p w14:paraId="0347DEBB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248 656,1</w:t>
            </w:r>
          </w:p>
        </w:tc>
        <w:tc>
          <w:tcPr>
            <w:tcW w:w="2160" w:type="dxa"/>
          </w:tcPr>
          <w:p w14:paraId="77386AA5" w14:textId="77777777" w:rsidR="00DE09CC" w:rsidRPr="00DE09CC" w:rsidRDefault="00DE09CC" w:rsidP="002200AC">
            <w:pPr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     265 481,2</w:t>
            </w:r>
          </w:p>
        </w:tc>
        <w:tc>
          <w:tcPr>
            <w:tcW w:w="2160" w:type="dxa"/>
          </w:tcPr>
          <w:p w14:paraId="4A603D6B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282 266,3</w:t>
            </w:r>
          </w:p>
        </w:tc>
      </w:tr>
      <w:tr w:rsidR="00DE09CC" w:rsidRPr="00DE09CC" w14:paraId="11ECB3DC" w14:textId="77777777" w:rsidTr="002200AC">
        <w:tc>
          <w:tcPr>
            <w:tcW w:w="3348" w:type="dxa"/>
          </w:tcPr>
          <w:p w14:paraId="3682B77E" w14:textId="77777777" w:rsidR="00DE09CC" w:rsidRPr="00DE09CC" w:rsidRDefault="00DE09CC" w:rsidP="002200AC">
            <w:pPr>
              <w:rPr>
                <w:i/>
                <w:iCs/>
                <w:sz w:val="28"/>
                <w:szCs w:val="28"/>
                <w:lang w:val="uk-UA"/>
              </w:rPr>
            </w:pPr>
            <w:r w:rsidRPr="00DE09CC">
              <w:rPr>
                <w:i/>
                <w:iCs/>
                <w:sz w:val="28"/>
                <w:szCs w:val="28"/>
                <w:lang w:val="uk-UA"/>
              </w:rPr>
              <w:t xml:space="preserve">податок та збір на доходи фізичних осіб, </w:t>
            </w:r>
            <w:proofErr w:type="spellStart"/>
            <w:r w:rsidRPr="00DE09CC">
              <w:rPr>
                <w:i/>
                <w:iCs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160" w:type="dxa"/>
          </w:tcPr>
          <w:p w14:paraId="4FC63650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155 875,0</w:t>
            </w:r>
          </w:p>
        </w:tc>
        <w:tc>
          <w:tcPr>
            <w:tcW w:w="2160" w:type="dxa"/>
          </w:tcPr>
          <w:p w14:paraId="021E773A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168 030,0</w:t>
            </w:r>
          </w:p>
        </w:tc>
        <w:tc>
          <w:tcPr>
            <w:tcW w:w="2160" w:type="dxa"/>
          </w:tcPr>
          <w:p w14:paraId="65D0AF94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180 185,0</w:t>
            </w:r>
          </w:p>
        </w:tc>
      </w:tr>
      <w:tr w:rsidR="00DE09CC" w:rsidRPr="00DE09CC" w14:paraId="68CB4440" w14:textId="77777777" w:rsidTr="002200AC">
        <w:tc>
          <w:tcPr>
            <w:tcW w:w="3348" w:type="dxa"/>
          </w:tcPr>
          <w:p w14:paraId="40BCC967" w14:textId="77777777" w:rsidR="00DE09CC" w:rsidRPr="00DE09CC" w:rsidRDefault="00DE09CC" w:rsidP="002200AC">
            <w:pPr>
              <w:rPr>
                <w:i/>
                <w:iCs/>
                <w:sz w:val="28"/>
                <w:szCs w:val="28"/>
                <w:lang w:val="uk-UA"/>
              </w:rPr>
            </w:pPr>
            <w:r w:rsidRPr="00DE09CC">
              <w:rPr>
                <w:i/>
                <w:iCs/>
                <w:sz w:val="28"/>
                <w:szCs w:val="28"/>
                <w:lang w:val="uk-UA"/>
              </w:rPr>
              <w:t>Питома вага, у %</w:t>
            </w:r>
          </w:p>
        </w:tc>
        <w:tc>
          <w:tcPr>
            <w:tcW w:w="2160" w:type="dxa"/>
          </w:tcPr>
          <w:p w14:paraId="25873D07" w14:textId="77777777" w:rsidR="00DE09CC" w:rsidRPr="00DE09CC" w:rsidRDefault="00DE09CC" w:rsidP="002200AC">
            <w:pPr>
              <w:ind w:firstLine="540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62,7</w:t>
            </w:r>
          </w:p>
        </w:tc>
        <w:tc>
          <w:tcPr>
            <w:tcW w:w="2160" w:type="dxa"/>
          </w:tcPr>
          <w:p w14:paraId="503CE965" w14:textId="77777777" w:rsidR="00DE09CC" w:rsidRPr="00DE09CC" w:rsidRDefault="00DE09CC" w:rsidP="002200AC">
            <w:pPr>
              <w:ind w:firstLine="540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63,3</w:t>
            </w:r>
          </w:p>
        </w:tc>
        <w:tc>
          <w:tcPr>
            <w:tcW w:w="2160" w:type="dxa"/>
          </w:tcPr>
          <w:p w14:paraId="4BD295D7" w14:textId="77777777" w:rsidR="00DE09CC" w:rsidRPr="00DE09CC" w:rsidRDefault="00DE09CC" w:rsidP="002200AC">
            <w:pPr>
              <w:ind w:firstLine="540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63,8</w:t>
            </w:r>
          </w:p>
        </w:tc>
      </w:tr>
    </w:tbl>
    <w:p w14:paraId="590641B6" w14:textId="77777777" w:rsidR="00DE09CC" w:rsidRPr="00DE09CC" w:rsidRDefault="00DE09CC" w:rsidP="00DE09CC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13C3A0" w14:textId="77777777" w:rsidR="00DE09CC" w:rsidRPr="00DE09CC" w:rsidRDefault="00DE09CC" w:rsidP="00DE09CC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lastRenderedPageBreak/>
        <w:t>Розрахунок податку та збору на доходи фізичних осіб на 2026-2028 роки здійснено на підставі фактичних за 2024 рік та очікуваних надходжень податку за 2025 рік з урахуванням росту фонду оплати праці найманих працівників на середньостроковий період.</w:t>
      </w:r>
    </w:p>
    <w:p w14:paraId="7144A92A" w14:textId="77777777" w:rsidR="00DE09CC" w:rsidRPr="00DE09CC" w:rsidRDefault="00DE09CC" w:rsidP="00DE09CC">
      <w:pPr>
        <w:ind w:firstLine="540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Основним чинником, який</w:t>
      </w:r>
      <w:r w:rsidRPr="00DE09CC">
        <w:rPr>
          <w:rFonts w:ascii="Times New Roman" w:hAnsi="Times New Roman"/>
          <w:snapToGrid w:val="0"/>
          <w:sz w:val="28"/>
          <w:szCs w:val="28"/>
          <w:lang w:val="uk-UA"/>
        </w:rPr>
        <w:t xml:space="preserve"> сприятиме 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збільшенню надходжень податку на доходи фізичних осіб, є </w:t>
      </w:r>
      <w:r w:rsidRPr="00DE09CC">
        <w:rPr>
          <w:rFonts w:ascii="Times New Roman" w:hAnsi="Times New Roman"/>
          <w:snapToGrid w:val="0"/>
          <w:sz w:val="28"/>
          <w:szCs w:val="28"/>
          <w:lang w:val="uk-UA"/>
        </w:rPr>
        <w:t>ріст фонду оплати праці у зв’язку із підвищенням розміру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 мінімальної заробітної плати (з 1 січня 2026 року розмір мінімальної заробітної плати буде складати – 8 688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, з 1 січня 2027 року –   9 374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, з 1 січня 2028 року – 10 059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)  </w:t>
      </w:r>
      <w:r w:rsidRPr="00DE09CC">
        <w:rPr>
          <w:rFonts w:ascii="Times New Roman" w:hAnsi="Times New Roman"/>
          <w:snapToGrid w:val="0"/>
          <w:sz w:val="28"/>
          <w:szCs w:val="28"/>
          <w:lang w:val="uk-UA"/>
        </w:rPr>
        <w:t xml:space="preserve">та зростанням розміру посадового окладу працівника І тарифного розряду Єдиної тарифної сітки (з 1 січня 2026 </w:t>
      </w:r>
      <w:proofErr w:type="spellStart"/>
      <w:r w:rsidRPr="00DE09CC">
        <w:rPr>
          <w:rFonts w:ascii="Times New Roman" w:hAnsi="Times New Roman"/>
          <w:snapToGrid w:val="0"/>
          <w:sz w:val="28"/>
          <w:szCs w:val="28"/>
          <w:lang w:val="uk-UA"/>
        </w:rPr>
        <w:t>року-</w:t>
      </w:r>
      <w:proofErr w:type="spellEnd"/>
      <w:r w:rsidRPr="00DE09CC">
        <w:rPr>
          <w:rFonts w:ascii="Times New Roman" w:hAnsi="Times New Roman"/>
          <w:snapToGrid w:val="0"/>
          <w:sz w:val="28"/>
          <w:szCs w:val="28"/>
          <w:lang w:val="uk-UA"/>
        </w:rPr>
        <w:t xml:space="preserve"> 3 470 грн., з 1 січня 2027  </w:t>
      </w:r>
      <w:proofErr w:type="spellStart"/>
      <w:r w:rsidRPr="00DE09CC">
        <w:rPr>
          <w:rFonts w:ascii="Times New Roman" w:hAnsi="Times New Roman"/>
          <w:snapToGrid w:val="0"/>
          <w:sz w:val="28"/>
          <w:szCs w:val="28"/>
          <w:lang w:val="uk-UA"/>
        </w:rPr>
        <w:t>року-</w:t>
      </w:r>
      <w:proofErr w:type="spellEnd"/>
      <w:r w:rsidRPr="00DE09CC">
        <w:rPr>
          <w:rFonts w:ascii="Times New Roman" w:hAnsi="Times New Roman"/>
          <w:snapToGrid w:val="0"/>
          <w:sz w:val="28"/>
          <w:szCs w:val="28"/>
          <w:lang w:val="uk-UA"/>
        </w:rPr>
        <w:t xml:space="preserve"> 3 744 грн., з 1 січня 2028 року – 4 018 </w:t>
      </w:r>
      <w:proofErr w:type="spellStart"/>
      <w:r w:rsidRPr="00DE09CC">
        <w:rPr>
          <w:rFonts w:ascii="Times New Roman" w:hAnsi="Times New Roman"/>
          <w:snapToGrid w:val="0"/>
          <w:sz w:val="28"/>
          <w:szCs w:val="28"/>
          <w:lang w:val="uk-UA"/>
        </w:rPr>
        <w:t>тис.грн</w:t>
      </w:r>
      <w:proofErr w:type="spellEnd"/>
      <w:r w:rsidRPr="00DE09CC">
        <w:rPr>
          <w:rFonts w:ascii="Times New Roman" w:hAnsi="Times New Roman"/>
          <w:snapToGrid w:val="0"/>
          <w:sz w:val="28"/>
          <w:szCs w:val="28"/>
          <w:lang w:val="uk-UA"/>
        </w:rPr>
        <w:t xml:space="preserve">.). </w:t>
      </w:r>
    </w:p>
    <w:p w14:paraId="721A9A81" w14:textId="77777777" w:rsidR="00DE09CC" w:rsidRPr="00DE09CC" w:rsidRDefault="00DE09CC" w:rsidP="00DE09CC">
      <w:pPr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Найбільшу питому вагу у  доходах спеціального фонду бюджету (більше 60,0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відс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.) займатимуть власні надходження бюджетних установ. Їх обсяг визначено відповідно до прогнозних показників головних розпорядників бюджетних коштів міського бюджету.</w:t>
      </w:r>
    </w:p>
    <w:p w14:paraId="01A63670" w14:textId="77777777" w:rsidR="00DE09CC" w:rsidRPr="00DE09CC" w:rsidRDefault="00DE09CC" w:rsidP="00DE09CC">
      <w:pPr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8305A2" w14:textId="77777777" w:rsidR="00DE09CC" w:rsidRPr="00DE09CC" w:rsidRDefault="00DE09CC" w:rsidP="00DE09CC">
      <w:pPr>
        <w:ind w:left="1416"/>
        <w:jc w:val="right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bCs/>
          <w:i/>
          <w:sz w:val="28"/>
          <w:szCs w:val="28"/>
          <w:lang w:val="uk-UA"/>
        </w:rPr>
        <w:t>Доходи спеціального фонду (без урахування трансфертів)</w:t>
      </w:r>
      <w:r w:rsidRPr="00DE09CC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528"/>
        <w:gridCol w:w="2160"/>
        <w:gridCol w:w="2160"/>
        <w:gridCol w:w="2007"/>
      </w:tblGrid>
      <w:tr w:rsidR="00DE09CC" w:rsidRPr="00DE09CC" w14:paraId="6BA6588B" w14:textId="77777777" w:rsidTr="002200AC">
        <w:tc>
          <w:tcPr>
            <w:tcW w:w="3528" w:type="dxa"/>
          </w:tcPr>
          <w:p w14:paraId="1D7BF25E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2160" w:type="dxa"/>
          </w:tcPr>
          <w:p w14:paraId="370DCF46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160" w:type="dxa"/>
          </w:tcPr>
          <w:p w14:paraId="27D58314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2007" w:type="dxa"/>
          </w:tcPr>
          <w:p w14:paraId="45125727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 xml:space="preserve">2028 рік </w:t>
            </w:r>
          </w:p>
        </w:tc>
      </w:tr>
      <w:tr w:rsidR="00DE09CC" w:rsidRPr="00DE09CC" w14:paraId="7227C539" w14:textId="77777777" w:rsidTr="002200AC">
        <w:tc>
          <w:tcPr>
            <w:tcW w:w="3528" w:type="dxa"/>
          </w:tcPr>
          <w:p w14:paraId="679FC37B" w14:textId="77777777" w:rsidR="00DE09CC" w:rsidRPr="00DE09CC" w:rsidRDefault="00DE09CC" w:rsidP="002200AC">
            <w:pPr>
              <w:ind w:right="-273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DE09CC">
              <w:rPr>
                <w:b/>
                <w:bCs/>
                <w:sz w:val="28"/>
                <w:szCs w:val="28"/>
                <w:lang w:val="uk-UA"/>
              </w:rPr>
              <w:t>Спеціальний фонд, у т.ч.</w:t>
            </w:r>
          </w:p>
        </w:tc>
        <w:tc>
          <w:tcPr>
            <w:tcW w:w="2160" w:type="dxa"/>
          </w:tcPr>
          <w:p w14:paraId="771B309A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 12 794,3</w:t>
            </w:r>
          </w:p>
          <w:p w14:paraId="69248BDD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3A168A28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11 307,2</w:t>
            </w:r>
          </w:p>
        </w:tc>
        <w:tc>
          <w:tcPr>
            <w:tcW w:w="2007" w:type="dxa"/>
          </w:tcPr>
          <w:p w14:paraId="0DBEF774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11 797,8</w:t>
            </w:r>
          </w:p>
        </w:tc>
      </w:tr>
      <w:tr w:rsidR="00DE09CC" w:rsidRPr="00DE09CC" w14:paraId="245ECF64" w14:textId="77777777" w:rsidTr="002200AC">
        <w:tc>
          <w:tcPr>
            <w:tcW w:w="3528" w:type="dxa"/>
          </w:tcPr>
          <w:p w14:paraId="7AC622B9" w14:textId="77777777" w:rsidR="00DE09CC" w:rsidRPr="00DE09CC" w:rsidRDefault="00DE09CC" w:rsidP="002200AC">
            <w:pPr>
              <w:rPr>
                <w:i/>
                <w:iCs/>
                <w:sz w:val="28"/>
                <w:szCs w:val="28"/>
                <w:lang w:val="uk-UA"/>
              </w:rPr>
            </w:pPr>
            <w:r w:rsidRPr="00DE09CC">
              <w:rPr>
                <w:i/>
                <w:iCs/>
                <w:sz w:val="28"/>
                <w:szCs w:val="28"/>
                <w:lang w:val="uk-UA"/>
              </w:rPr>
              <w:t>власні надходження бюджетних установ</w:t>
            </w:r>
          </w:p>
        </w:tc>
        <w:tc>
          <w:tcPr>
            <w:tcW w:w="2160" w:type="dxa"/>
          </w:tcPr>
          <w:p w14:paraId="1E2F1F8D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8 199,3</w:t>
            </w:r>
          </w:p>
        </w:tc>
        <w:tc>
          <w:tcPr>
            <w:tcW w:w="2160" w:type="dxa"/>
          </w:tcPr>
          <w:p w14:paraId="10DA1FF2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8 712,2</w:t>
            </w:r>
          </w:p>
        </w:tc>
        <w:tc>
          <w:tcPr>
            <w:tcW w:w="2007" w:type="dxa"/>
          </w:tcPr>
          <w:p w14:paraId="1B08317A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9 202,8</w:t>
            </w:r>
          </w:p>
        </w:tc>
      </w:tr>
      <w:tr w:rsidR="00DE09CC" w:rsidRPr="00DE09CC" w14:paraId="4E60A9A1" w14:textId="77777777" w:rsidTr="002200AC">
        <w:tc>
          <w:tcPr>
            <w:tcW w:w="3528" w:type="dxa"/>
          </w:tcPr>
          <w:p w14:paraId="64470066" w14:textId="77777777" w:rsidR="00DE09CC" w:rsidRPr="00DE09CC" w:rsidRDefault="00DE09CC" w:rsidP="002200AC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DE09CC">
              <w:rPr>
                <w:i/>
                <w:iCs/>
                <w:sz w:val="28"/>
                <w:szCs w:val="28"/>
                <w:lang w:val="uk-UA"/>
              </w:rPr>
              <w:t>Питома вага, у %</w:t>
            </w:r>
          </w:p>
        </w:tc>
        <w:tc>
          <w:tcPr>
            <w:tcW w:w="2160" w:type="dxa"/>
          </w:tcPr>
          <w:p w14:paraId="12E7376D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64,1</w:t>
            </w:r>
          </w:p>
        </w:tc>
        <w:tc>
          <w:tcPr>
            <w:tcW w:w="2160" w:type="dxa"/>
          </w:tcPr>
          <w:p w14:paraId="4B46196D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77,1</w:t>
            </w:r>
          </w:p>
        </w:tc>
        <w:tc>
          <w:tcPr>
            <w:tcW w:w="2007" w:type="dxa"/>
          </w:tcPr>
          <w:p w14:paraId="5B4A59B7" w14:textId="77777777" w:rsidR="00DE09CC" w:rsidRPr="00DE09CC" w:rsidRDefault="00DE09CC" w:rsidP="002200AC">
            <w:pPr>
              <w:jc w:val="center"/>
              <w:rPr>
                <w:sz w:val="28"/>
                <w:szCs w:val="28"/>
                <w:lang w:val="uk-UA"/>
              </w:rPr>
            </w:pPr>
            <w:r w:rsidRPr="00DE09CC">
              <w:rPr>
                <w:sz w:val="28"/>
                <w:szCs w:val="28"/>
                <w:lang w:val="uk-UA"/>
              </w:rPr>
              <w:t>78,0</w:t>
            </w:r>
          </w:p>
        </w:tc>
      </w:tr>
    </w:tbl>
    <w:p w14:paraId="6D5871C2" w14:textId="77777777" w:rsidR="00DE09CC" w:rsidRPr="00DE09CC" w:rsidRDefault="00DE09CC" w:rsidP="00DE09CC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110B5F" w14:textId="77777777" w:rsidR="00DE09CC" w:rsidRPr="00DE09CC" w:rsidRDefault="00DE09CC" w:rsidP="00DE09CC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Інформацію щодо доходів бюджету міської територіальної громади наведено у додатку 2 до цього прогнозу.</w:t>
      </w:r>
    </w:p>
    <w:p w14:paraId="29EE2AEF" w14:textId="77777777" w:rsidR="00DE09CC" w:rsidRPr="00DE09CC" w:rsidRDefault="00DE09CC" w:rsidP="00DE09CC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E6C2EB" w14:textId="5AF6F2B2" w:rsidR="00DE09CC" w:rsidRPr="00DE09CC" w:rsidRDefault="00DE09CC" w:rsidP="00BE549F">
      <w:pPr>
        <w:ind w:firstLine="708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</w:rPr>
        <w:t xml:space="preserve">V. </w:t>
      </w:r>
      <w:r w:rsidRPr="00DE09CC">
        <w:rPr>
          <w:rFonts w:ascii="Times New Roman" w:hAnsi="Times New Roman"/>
          <w:b/>
          <w:noProof/>
          <w:sz w:val="28"/>
          <w:szCs w:val="28"/>
          <w:lang w:val="uk-UA"/>
        </w:rPr>
        <w:t>Показники фінансування бюджету, показники місцевого боргу, показники надання місцевих гарантій, обсягу гарантійних зобов’язань та гарантованого Автономною Республікою Крим, обласною радою, міською, селищною чи сільською територіальною громадою боргу</w:t>
      </w:r>
    </w:p>
    <w:p w14:paraId="1DD09AA6" w14:textId="77777777" w:rsidR="00DE09CC" w:rsidRPr="00DE09CC" w:rsidRDefault="00DE09CC" w:rsidP="00DE09CC">
      <w:pPr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E09CC">
        <w:rPr>
          <w:rFonts w:ascii="Times New Roman" w:hAnsi="Times New Roman"/>
          <w:noProof/>
          <w:sz w:val="28"/>
          <w:szCs w:val="28"/>
          <w:lang w:val="uk-UA"/>
        </w:rPr>
        <w:t xml:space="preserve">У додатку 3 „Показники фінансування бюджету” зазначено кошти, які планується передати із загального фонду до спеціального фонду  на реалізацію інвестиційних проектів та програм публічних інвестицій з урахуванням </w:t>
      </w:r>
      <w:r w:rsidRPr="00DE09CC">
        <w:rPr>
          <w:rFonts w:ascii="Times New Roman" w:hAnsi="Times New Roman"/>
          <w:noProof/>
          <w:sz w:val="28"/>
          <w:szCs w:val="28"/>
          <w:lang w:val="uk-UA"/>
        </w:rPr>
        <w:lastRenderedPageBreak/>
        <w:t>середньострокового плану пріоритетних публічних інвестицій територіальної громади, у тому числі :</w:t>
      </w:r>
    </w:p>
    <w:p w14:paraId="66C98DA5" w14:textId="77777777" w:rsidR="00DE09CC" w:rsidRPr="00DE09CC" w:rsidRDefault="00DE09CC" w:rsidP="00DE09CC">
      <w:pPr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E09CC">
        <w:rPr>
          <w:rFonts w:ascii="Times New Roman" w:hAnsi="Times New Roman"/>
          <w:noProof/>
          <w:sz w:val="28"/>
          <w:szCs w:val="28"/>
          <w:lang w:val="uk-UA"/>
        </w:rPr>
        <w:t>на 2026 рік –   11 700 000 грн.;</w:t>
      </w:r>
    </w:p>
    <w:p w14:paraId="5D4BEDBF" w14:textId="77777777" w:rsidR="00DE09CC" w:rsidRPr="00DE09CC" w:rsidRDefault="00DE09CC" w:rsidP="00DE09CC">
      <w:pPr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noProof/>
          <w:sz w:val="28"/>
          <w:szCs w:val="28"/>
          <w:lang w:val="uk-UA"/>
        </w:rPr>
        <w:t>на 2027 рік –   10 000 000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14:paraId="44ECAD6D" w14:textId="77777777" w:rsidR="00DE09CC" w:rsidRPr="00DE09CC" w:rsidRDefault="00DE09CC" w:rsidP="00DE09CC">
      <w:pPr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на 2028 рік –   44 400 000 грн..</w:t>
      </w:r>
    </w:p>
    <w:p w14:paraId="46C5FDCC" w14:textId="77777777" w:rsidR="00DE09CC" w:rsidRPr="00DE09CC" w:rsidRDefault="00DE09CC" w:rsidP="00DE09CC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A654BA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Надходження   коштів до спеціального фонду (бюджету розвитку)   прогнозуються 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слідуючих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розмірах:  </w:t>
      </w:r>
    </w:p>
    <w:p w14:paraId="6C0D205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2026 рік в сумі 4 500 000 грн., </w:t>
      </w:r>
    </w:p>
    <w:p w14:paraId="4E9E68FF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2027 рік в сумі 2 500 000 грн., </w:t>
      </w:r>
    </w:p>
    <w:p w14:paraId="2E2ECBBD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на 2028 рік в сумі 2 500 000 грн.</w:t>
      </w:r>
    </w:p>
    <w:p w14:paraId="544AE7FA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B24540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Відповідно до стратегії розвитку територіальної громади до 2027 року та враховуючи рішення місцевої інвестиційної ради, на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співфінансування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заходів щодо підготовки та реалізації публічних інвестиційних проектів та програм публічних інвестицій, планується спрямувати кошти міського бюджету, у тому числі і коштів від надходжень продажу землі несільськогосподарського призначення, яка є у комунальній власності територіальної громади, 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слідуючих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обсягах:</w:t>
      </w:r>
    </w:p>
    <w:p w14:paraId="4A178383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на 2026 рік   -  16 200 000 грн.;</w:t>
      </w:r>
    </w:p>
    <w:p w14:paraId="031D1B93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на 2027 рік   -  12 500 000 грн.;</w:t>
      </w:r>
    </w:p>
    <w:p w14:paraId="0EB787DC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на 2028 рік   -  46 900 000 грн.</w:t>
      </w:r>
    </w:p>
    <w:p w14:paraId="31E3B1E8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Середньостроковий план пріоритетних публічних інвестицій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міської територіальної громади, схвалений Інвестиційною радою  26 серпня 2025 року та визначає </w:t>
      </w:r>
    </w:p>
    <w:p w14:paraId="072CD77E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„Основні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напрями публічного інвестування” : </w:t>
      </w:r>
    </w:p>
    <w:p w14:paraId="5E53B7D1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</w:t>
      </w:r>
      <w:r w:rsidRPr="00DE09CC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t>Галузь (сектор) для публічного інвестування – Освіта і наука</w:t>
      </w: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. </w:t>
      </w:r>
    </w:p>
    <w:p w14:paraId="4CBFABDC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Спрямування на забезпечення доступу до якісного та безпечного харчування у закладах освіти шляхом розвитку сучасної інфраструктури їдалень (харчоблоків; облаштування захисних споруд цивільного захисту (укриттів) у закладах загальної середньої освіти. </w:t>
      </w:r>
    </w:p>
    <w:p w14:paraId="7030F614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Головний розпорядник коштів бюджету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міської територіальної громади - Відділ освіти, охорони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здоров»я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, культури, сім’ї, молоді та спорту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міської ради. </w:t>
      </w:r>
    </w:p>
    <w:p w14:paraId="215D5155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lastRenderedPageBreak/>
        <w:t xml:space="preserve">         Граничний сукупний обсяг публічних інвестицій на середньостроковий період на 2026 рік – 3 200 000 гривень, на 2027 рік – 3 000 000 гривень, на 2028 рік – 11 900 000 гривень. </w:t>
      </w:r>
    </w:p>
    <w:p w14:paraId="1405EB4B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</w:t>
      </w:r>
      <w:r w:rsidRPr="00DE09CC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t>Галузь (сектор) для публічного інвестування – Охорона здоров</w:t>
      </w:r>
      <w:r w:rsidRPr="00DE09CC">
        <w:rPr>
          <w:rFonts w:ascii="Times New Roman" w:eastAsiaTheme="minorHAnsi" w:hAnsi="Times New Roman"/>
          <w:b/>
          <w:color w:val="000000"/>
          <w:sz w:val="28"/>
          <w:szCs w:val="28"/>
        </w:rPr>
        <w:t>’</w:t>
      </w:r>
      <w:r w:rsidRPr="00DE09CC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t>я.</w:t>
      </w:r>
    </w:p>
    <w:p w14:paraId="422065AD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t xml:space="preserve">        </w:t>
      </w: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Спрямування на створення та розвиток відновлення медичної реабілітації; забезпечення доступу до якісної медичної допомоги шляхом розбудови й модернізації об’єктів медичної інфраструктури.</w:t>
      </w:r>
    </w:p>
    <w:p w14:paraId="6FE977FC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Головний розпорядник коштів бюджету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міської територіальної громади - Відділ освіти, охорони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здоров»я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, культури, сім’ї, молоді та спорту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міської ради.</w:t>
      </w:r>
    </w:p>
    <w:p w14:paraId="6AACEC17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Граничний сукупний обсяг публічних інвестицій на середньостроковий період на 2026 рік – 2 000 000 гривень, на 2027 рік – 1 000 000 гривень, на 2028 рік – 5 000 000 гривень.</w:t>
      </w:r>
    </w:p>
    <w:p w14:paraId="06EA1DA1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</w:t>
      </w:r>
      <w:r w:rsidRPr="00DE09CC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t xml:space="preserve">Галузь (сектор) для публічного інвестування – Спорт і фізичне виховання. </w:t>
      </w:r>
    </w:p>
    <w:p w14:paraId="5E7F52D9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Спрямування на розвиток спортивної інфраструктури з метою забезпечення доступу до якісних умов для фізичного виховання, тренувань та змагань.</w:t>
      </w:r>
    </w:p>
    <w:p w14:paraId="559A32DC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Головний розпорядник коштів бюджету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міської територіальної громади – Відділ освіти, охорони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здоров»я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, культури, сім’ї, молоді та спорту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міської ради. </w:t>
      </w:r>
    </w:p>
    <w:p w14:paraId="179E0E92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Граничний сукупний обсяг публічних інвестицій на середньостроковий період на 2026 рік – 1 000 000 гривень, на 2027 рік  - 1 000 000 гривень, на 2028 рік – 5 000 000 грн.</w:t>
      </w:r>
    </w:p>
    <w:p w14:paraId="25A1B90E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DE09CC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t>Галузь (сектор) для публічного інвестування – Муніципальна інфраструктура</w:t>
      </w: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DE09CC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t>та послуги</w:t>
      </w: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. </w:t>
      </w:r>
    </w:p>
    <w:p w14:paraId="48450289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Спрямування на відновлення, розвиток та модернізацію інфраструктури централізованого водопостачання та водовідведення, в тому числі з впровадженням альтернативних джерел енергії; впровадження енергозберігаючих технологій та відновлювальних джерел енергії в комунальних закладах, підприємствах громади. </w:t>
      </w:r>
    </w:p>
    <w:p w14:paraId="1A7F214E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Головний розпорядник коштів бюджету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міської територіальної громади –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Іршавська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міська рада Закарпатської області. </w:t>
      </w:r>
    </w:p>
    <w:p w14:paraId="1A2D7785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Граничний сукупний обсяг публічних інвестицій на середньостроковий період на 2026 рік – 5 000 000 гривень, 2027 рік – 2 500 000 гривень, 2028 рік – 10 000 000 гривень. </w:t>
      </w:r>
    </w:p>
    <w:p w14:paraId="5D4ED60C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lastRenderedPageBreak/>
        <w:t xml:space="preserve">       Галузь (сектор) для публічного інвестування – Довкілля</w:t>
      </w: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</w:p>
    <w:p w14:paraId="3476750F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Спрямування на забезпечення захисту від шкідливих дій вод населених пунктів, виробничих об’єктів та сільськогосподарських угідь, створення безпечних умов життєдіяльності населення; розробка та впровадження системи управління твердими побутовими відходами на території громади. </w:t>
      </w:r>
    </w:p>
    <w:p w14:paraId="3F758D1A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Головний розпорядник коштів бюджету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міської територіальної громади –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Іршавська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міська рада Закарпатської області. </w:t>
      </w:r>
    </w:p>
    <w:p w14:paraId="1BB2F152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Граничний сукупний обсяг публічних інвестицій на середньостроковий період на 2026 рік – 1 000 000 гривень, 2027 рік – 1 000 000 гривень, 2028 рік – 5 000 000 гривень. </w:t>
      </w:r>
    </w:p>
    <w:p w14:paraId="3AE08638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t xml:space="preserve">       Галузь (сектор) для публічного інвестування – Транспорт</w:t>
      </w: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</w:p>
    <w:p w14:paraId="5289EB5C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Спрямування на відновлення та реконструкцію мостів, комунальних доріг, облаштування придорожньої інфраструктури в громаді. </w:t>
      </w:r>
    </w:p>
    <w:p w14:paraId="1016FA2C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Головний розпорядник коштів бюджету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міської територіальної громади –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Іршавська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міська рада Закарпатської області. </w:t>
      </w:r>
    </w:p>
    <w:p w14:paraId="5C8823FA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Граничний сукупний обсяг публічних інвестицій на середньостроковий період на 2026 рік – 4 000 000 гривень, 2027 рік – 4 000 000 гривень, 2028 рік – 10 000 000 гривень. </w:t>
      </w:r>
    </w:p>
    <w:p w14:paraId="6DD91E49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міської територіальної громади на 2026–2028 роки, наведені у додатку 9 до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„Прогнозу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2026-2028 роки”.</w:t>
      </w:r>
    </w:p>
    <w:p w14:paraId="3D6BC903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Капітальні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трансферти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E09CC">
        <w:rPr>
          <w:rFonts w:ascii="Times New Roman" w:hAnsi="Times New Roman"/>
          <w:sz w:val="28"/>
          <w:szCs w:val="28"/>
        </w:rPr>
        <w:t>інших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бюджеті</w:t>
      </w:r>
      <w:proofErr w:type="gramStart"/>
      <w:r w:rsidRPr="00DE09CC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E09CC">
        <w:rPr>
          <w:rFonts w:ascii="Times New Roman" w:hAnsi="Times New Roman"/>
          <w:sz w:val="28"/>
          <w:szCs w:val="28"/>
          <w:lang w:val="uk-UA"/>
        </w:rPr>
        <w:t>на</w:t>
      </w:r>
      <w:proofErr w:type="gramEnd"/>
      <w:r w:rsidRPr="00DE09CC">
        <w:rPr>
          <w:rFonts w:ascii="Times New Roman" w:hAnsi="Times New Roman"/>
          <w:sz w:val="28"/>
          <w:szCs w:val="28"/>
          <w:lang w:val="uk-UA"/>
        </w:rPr>
        <w:t xml:space="preserve"> реалізацію інвестиційних проектів у територіальній громаді </w:t>
      </w:r>
      <w:r w:rsidRPr="00DE09CC">
        <w:rPr>
          <w:rFonts w:ascii="Times New Roman" w:hAnsi="Times New Roman"/>
          <w:sz w:val="28"/>
          <w:szCs w:val="28"/>
        </w:rPr>
        <w:t xml:space="preserve"> </w:t>
      </w:r>
      <w:r w:rsidRPr="00DE09CC">
        <w:rPr>
          <w:rFonts w:ascii="Times New Roman" w:hAnsi="Times New Roman"/>
          <w:sz w:val="28"/>
          <w:szCs w:val="28"/>
          <w:lang w:val="uk-UA"/>
        </w:rPr>
        <w:t>на</w:t>
      </w:r>
      <w:r w:rsidRPr="00DE09CC">
        <w:rPr>
          <w:rFonts w:ascii="Times New Roman" w:hAnsi="Times New Roman"/>
          <w:sz w:val="28"/>
          <w:szCs w:val="28"/>
        </w:rPr>
        <w:t xml:space="preserve"> 202</w:t>
      </w:r>
      <w:r w:rsidRPr="00DE09CC">
        <w:rPr>
          <w:rFonts w:ascii="Times New Roman" w:hAnsi="Times New Roman"/>
          <w:sz w:val="28"/>
          <w:szCs w:val="28"/>
          <w:lang w:val="uk-UA"/>
        </w:rPr>
        <w:t>6</w:t>
      </w:r>
      <w:r w:rsidRPr="00DE09CC">
        <w:rPr>
          <w:rFonts w:ascii="Times New Roman" w:hAnsi="Times New Roman"/>
          <w:sz w:val="28"/>
          <w:szCs w:val="28"/>
        </w:rPr>
        <w:t>-202</w:t>
      </w:r>
      <w:r w:rsidRPr="00DE09CC">
        <w:rPr>
          <w:rFonts w:ascii="Times New Roman" w:hAnsi="Times New Roman"/>
          <w:sz w:val="28"/>
          <w:szCs w:val="28"/>
          <w:lang w:val="uk-UA"/>
        </w:rPr>
        <w:t>8</w:t>
      </w:r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ро</w:t>
      </w:r>
      <w:r w:rsidRPr="00DE09CC"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,</w:t>
      </w:r>
      <w:r w:rsidRPr="00DE09CC">
        <w:rPr>
          <w:rFonts w:ascii="Times New Roman" w:hAnsi="Times New Roman"/>
          <w:sz w:val="28"/>
          <w:szCs w:val="28"/>
        </w:rPr>
        <w:t xml:space="preserve"> не </w:t>
      </w:r>
      <w:r w:rsidRPr="00DE09CC">
        <w:rPr>
          <w:rFonts w:ascii="Times New Roman" w:hAnsi="Times New Roman"/>
          <w:sz w:val="28"/>
          <w:szCs w:val="28"/>
          <w:lang w:val="uk-UA"/>
        </w:rPr>
        <w:t>передбачаються</w:t>
      </w:r>
      <w:r w:rsidRPr="00DE09CC">
        <w:rPr>
          <w:rFonts w:ascii="Times New Roman" w:hAnsi="Times New Roman"/>
          <w:sz w:val="28"/>
          <w:szCs w:val="28"/>
        </w:rPr>
        <w:t xml:space="preserve">. </w:t>
      </w:r>
    </w:p>
    <w:p w14:paraId="6B0B408B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9B80723" w14:textId="77777777" w:rsidR="00DE09CC" w:rsidRPr="00DE09CC" w:rsidRDefault="00DE09CC" w:rsidP="00DE09CC">
      <w:pPr>
        <w:tabs>
          <w:tab w:val="left" w:pos="709"/>
          <w:tab w:val="left" w:pos="1134"/>
        </w:tabs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E09CC">
        <w:rPr>
          <w:rFonts w:ascii="Times New Roman" w:hAnsi="Times New Roman"/>
          <w:noProof/>
          <w:sz w:val="28"/>
          <w:szCs w:val="28"/>
          <w:lang w:val="uk-UA"/>
        </w:rPr>
        <w:t xml:space="preserve">           Показники, визначені додатками 4 і 5 Типової форми прогнозу місцевого бюджету  не плануються у бюджеті міської територіальної громади  на 2026-2028 роки, тому відповідні додатки не заповнювалися.</w:t>
      </w:r>
    </w:p>
    <w:p w14:paraId="13F6A01C" w14:textId="77777777" w:rsidR="00DE09CC" w:rsidRPr="00DE09CC" w:rsidRDefault="00DE09CC" w:rsidP="00DE09C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85C666" w14:textId="4695850A" w:rsidR="00DE09CC" w:rsidRPr="00DE09CC" w:rsidRDefault="00DE09CC" w:rsidP="00DE09C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</w:rPr>
        <w:t>V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 xml:space="preserve">І </w:t>
      </w:r>
      <w:proofErr w:type="spellStart"/>
      <w:r w:rsidRPr="00DE09CC">
        <w:rPr>
          <w:rFonts w:ascii="Times New Roman" w:hAnsi="Times New Roman"/>
          <w:b/>
          <w:sz w:val="28"/>
          <w:szCs w:val="28"/>
          <w:lang w:val="uk-UA"/>
        </w:rPr>
        <w:t>.Показники</w:t>
      </w:r>
      <w:proofErr w:type="spellEnd"/>
      <w:r w:rsidRPr="00DE09CC">
        <w:rPr>
          <w:rFonts w:ascii="Times New Roman" w:hAnsi="Times New Roman"/>
          <w:b/>
          <w:sz w:val="28"/>
          <w:szCs w:val="28"/>
          <w:lang w:val="uk-UA"/>
        </w:rPr>
        <w:t xml:space="preserve"> видаткі</w:t>
      </w:r>
      <w:proofErr w:type="gramStart"/>
      <w:r w:rsidRPr="00DE09CC">
        <w:rPr>
          <w:rFonts w:ascii="Times New Roman" w:hAnsi="Times New Roman"/>
          <w:b/>
          <w:sz w:val="28"/>
          <w:szCs w:val="28"/>
          <w:lang w:val="uk-UA"/>
        </w:rPr>
        <w:t>в</w:t>
      </w:r>
      <w:proofErr w:type="gramEnd"/>
      <w:r w:rsidRPr="00DE09C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Pr="00DE09CC">
        <w:rPr>
          <w:rFonts w:ascii="Times New Roman" w:hAnsi="Times New Roman"/>
          <w:b/>
          <w:sz w:val="28"/>
          <w:szCs w:val="28"/>
          <w:lang w:val="uk-UA"/>
        </w:rPr>
        <w:t>бюджету</w:t>
      </w:r>
      <w:proofErr w:type="gramEnd"/>
      <w:r w:rsidRPr="00DE09CC">
        <w:rPr>
          <w:rFonts w:ascii="Times New Roman" w:hAnsi="Times New Roman"/>
          <w:b/>
          <w:sz w:val="28"/>
          <w:szCs w:val="28"/>
          <w:lang w:val="uk-UA"/>
        </w:rPr>
        <w:t xml:space="preserve"> та надання кредитів з бюджету</w:t>
      </w:r>
    </w:p>
    <w:p w14:paraId="4818F41F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 Перехід до середньострокового прогнозування є складовою частиною програмно-цільового методу, який використовується у бюджетному процесі, та передбачає узгодження стратегічних планів, проектів, програм з реальними можливостями бюджету громади. В основу формування обсягів видатків </w:t>
      </w: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lastRenderedPageBreak/>
        <w:t xml:space="preserve">Прогнозу покладено вимоги положень Бюджетного кодексу України, інших законодавчих актів, що стосуються місцевих бюджетів та міжбюджетних відносин, основних макроекономічних показників економічного і соціального розвитку України, визначених Бюджетною декларацією на 2026–2028 роки, схваленою постановою Кабінету Міністрів України від 27 червня 2025 № 774. </w:t>
      </w:r>
    </w:p>
    <w:p w14:paraId="005A2487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Основним завданням бюджетної політики на місцевому рівні на середньостроковий період залишатиметься забезпечення стабільності, результативності, стійкості та збалансованості бюджету територіальної громади, ефективне використання бюджетних коштів в умовах обмеженості бюджетних ресурсів. </w:t>
      </w:r>
    </w:p>
    <w:p w14:paraId="1D380BAA" w14:textId="4B638A93" w:rsidR="00DE09CC" w:rsidRPr="00DE09CC" w:rsidRDefault="00DE09CC" w:rsidP="00DE09C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Середньострокове бюджетне планування здійснюватиметься з урахуванням стратегічних документів територіальної громади, показники яких є орієнтирами для досягнення цілей державної</w:t>
      </w:r>
      <w:r w:rsidR="0090212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(регіональної)</w:t>
      </w:r>
      <w:r w:rsidR="0090212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bookmarkStart w:id="2" w:name="_GoBack"/>
      <w:bookmarkEnd w:id="2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місцевої політик</w:t>
      </w:r>
      <w:r w:rsidR="0090212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и</w:t>
      </w: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</w:p>
    <w:p w14:paraId="0A242A37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Прогноз витрат складено на основі поданих головними розпорядниками бюджетних коштів пропозицій до прогнозу бюджету. Під час складання прогнозних показників видаткової частини на 2026 - 2028 роки, в першочерговому порядку врахована потреба в коштах на оплату праці працівників бюджетних установ відповідно до умов оплати праці та розміру мінімальної заробітної плати, на проведення розрахунків за комунальні послуги та енергоносії, які споживаються бюджетними установами, з урахуванням пріоритетності видатків, обґрунтованості витрат, що передбачає детальні розрахунки в межах граничних показників з урахуванням кількісних та вартісних факторів, які впливають на обсяг видатків у плановому та наступних за плановим двох бюджетних періодах. </w:t>
      </w:r>
    </w:p>
    <w:p w14:paraId="28743D59" w14:textId="77777777" w:rsidR="00DE09CC" w:rsidRPr="00DE09CC" w:rsidRDefault="00DE09CC" w:rsidP="00DE09C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Особлива увага приділятиметься оглядам витрат у сферах, які мають істотний вплив на видатки бюджету громади та визначені Планом України як пріоритетні, серед яких соціальний захист, освіта, охорона здоров’я, енергетика. </w:t>
      </w:r>
    </w:p>
    <w:p w14:paraId="0E62501C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Для визначення прогнозних показників видатків на оплату бюджетними установами та закладами комунальних послуг та енергоносіїв на 2026- 2028 роки до базових обсягів станом на 01.07.2025 року враховано показник індексу цін виробників промислової продукції, який наведений в Основних прогнозних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макропоказниках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економічного і соціального розвитку України, визначених Бюджетною декларацією на 2026–2028 роки, схваленою постановою Кабінету Міністрів України від 27 червня 2025 № 774. При складані Прогнозу враховані обсяги видатків для забезпечення стабільної роботи установ та закладів соціально-культурної сфери, надання встановлених власних соціальних гарантій для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малозахищених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верств населення, ветеранів війни та членів їх сімей, підтримку в належному стані об’єктів житлово-комунального </w:t>
      </w: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lastRenderedPageBreak/>
        <w:t>господарства, впровадження заходів з енергозбереження, а також виконання в межах фінансових можливостей місцевих цільових програм.</w:t>
      </w:r>
    </w:p>
    <w:p w14:paraId="6CA7EE4D" w14:textId="77777777" w:rsidR="00DE09CC" w:rsidRPr="00DE09CC" w:rsidRDefault="00DE09CC" w:rsidP="00DE09CC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bCs/>
          <w:sz w:val="28"/>
          <w:szCs w:val="28"/>
          <w:lang w:val="uk-UA"/>
        </w:rPr>
        <w:t xml:space="preserve">Загальний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обсяг видатків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Прогнозу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 прогнозується:</w:t>
      </w:r>
    </w:p>
    <w:p w14:paraId="016DFFA8" w14:textId="77777777" w:rsidR="00DE09CC" w:rsidRPr="00DE09CC" w:rsidRDefault="00DE09CC" w:rsidP="00DE09CC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471 628 170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(в т.ч. загальний фонд – 447 133 900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, спеціальний фонд – 24 494 270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);</w:t>
      </w:r>
    </w:p>
    <w:p w14:paraId="73F570EC" w14:textId="77777777" w:rsidR="00DE09CC" w:rsidRPr="00DE09CC" w:rsidRDefault="00DE09CC" w:rsidP="00DE09CC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2027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504 706 954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(в т.ч. загальний фонд -  483 399 800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, спеціальний фонд – 21 307 154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);</w:t>
      </w:r>
    </w:p>
    <w:p w14:paraId="29FA03F9" w14:textId="77777777" w:rsidR="00DE09CC" w:rsidRPr="00DE09CC" w:rsidRDefault="00DE09CC" w:rsidP="00DE09CC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2028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574 734 269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(в т.ч. загальний фонд – 518 536 500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, спеціальний фонд – 56 197 769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).</w:t>
      </w:r>
    </w:p>
    <w:p w14:paraId="77773E98" w14:textId="77777777" w:rsidR="00DE09CC" w:rsidRPr="00DE09CC" w:rsidRDefault="00DE09CC" w:rsidP="00DE09CC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A956F0" w14:textId="77777777" w:rsidR="00DE09CC" w:rsidRPr="00DE09CC" w:rsidRDefault="00DE09CC" w:rsidP="00DE09CC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Загальний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обсяг кредитування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міського бюджету прогнозується: </w:t>
      </w:r>
    </w:p>
    <w:p w14:paraId="5F79097B" w14:textId="77777777" w:rsidR="00DE09CC" w:rsidRPr="00DE09CC" w:rsidRDefault="00DE09CC" w:rsidP="00DE09CC">
      <w:pPr>
        <w:pStyle w:val="ac"/>
        <w:numPr>
          <w:ilvl w:val="0"/>
          <w:numId w:val="10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2026</w:t>
      </w:r>
      <w:r w:rsidRPr="00DE09CC">
        <w:rPr>
          <w:sz w:val="28"/>
          <w:szCs w:val="28"/>
          <w:lang w:val="uk-UA"/>
        </w:rPr>
        <w:t xml:space="preserve"> рік – </w:t>
      </w:r>
      <w:r w:rsidRPr="00DE09CC">
        <w:rPr>
          <w:b/>
          <w:sz w:val="28"/>
          <w:szCs w:val="28"/>
          <w:lang w:val="uk-UA"/>
        </w:rPr>
        <w:t>200</w:t>
      </w:r>
      <w:r w:rsidRPr="00DE09CC">
        <w:rPr>
          <w:b/>
          <w:bCs/>
          <w:sz w:val="28"/>
          <w:szCs w:val="28"/>
          <w:lang w:val="uk-UA"/>
        </w:rPr>
        <w:t> 000</w:t>
      </w:r>
      <w:r w:rsidRPr="00DE09CC">
        <w:rPr>
          <w:sz w:val="28"/>
          <w:szCs w:val="28"/>
          <w:lang w:val="uk-UA"/>
        </w:rPr>
        <w:t xml:space="preserve"> грн. (загальний фонд) </w:t>
      </w:r>
    </w:p>
    <w:p w14:paraId="416D9AC9" w14:textId="77777777" w:rsidR="00DE09CC" w:rsidRPr="00DE09CC" w:rsidRDefault="00DE09CC" w:rsidP="00DE09CC">
      <w:pPr>
        <w:pStyle w:val="ac"/>
        <w:numPr>
          <w:ilvl w:val="0"/>
          <w:numId w:val="10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2027</w:t>
      </w:r>
      <w:r w:rsidRPr="00DE09CC">
        <w:rPr>
          <w:sz w:val="28"/>
          <w:szCs w:val="28"/>
          <w:lang w:val="uk-UA"/>
        </w:rPr>
        <w:t xml:space="preserve"> рік – </w:t>
      </w:r>
      <w:r w:rsidRPr="00DE09CC">
        <w:rPr>
          <w:b/>
          <w:sz w:val="28"/>
          <w:szCs w:val="28"/>
          <w:lang w:val="uk-UA"/>
        </w:rPr>
        <w:t>2</w:t>
      </w:r>
      <w:r w:rsidRPr="00DE09CC">
        <w:rPr>
          <w:b/>
          <w:bCs/>
          <w:sz w:val="28"/>
          <w:szCs w:val="28"/>
          <w:lang w:val="uk-UA"/>
        </w:rPr>
        <w:t>00 000</w:t>
      </w:r>
      <w:r w:rsidRPr="00DE09CC">
        <w:rPr>
          <w:sz w:val="28"/>
          <w:szCs w:val="28"/>
          <w:lang w:val="uk-UA"/>
        </w:rPr>
        <w:t xml:space="preserve"> грн. (загальний фонд) </w:t>
      </w:r>
    </w:p>
    <w:p w14:paraId="24D7E876" w14:textId="77777777" w:rsidR="00DE09CC" w:rsidRPr="00DE09CC" w:rsidRDefault="00DE09CC" w:rsidP="00DE09CC">
      <w:pPr>
        <w:pStyle w:val="ac"/>
        <w:numPr>
          <w:ilvl w:val="0"/>
          <w:numId w:val="10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2028</w:t>
      </w:r>
      <w:r w:rsidRPr="00DE09CC">
        <w:rPr>
          <w:sz w:val="28"/>
          <w:szCs w:val="28"/>
          <w:lang w:val="uk-UA"/>
        </w:rPr>
        <w:t xml:space="preserve"> рік – </w:t>
      </w:r>
      <w:r w:rsidRPr="00DE09CC">
        <w:rPr>
          <w:b/>
          <w:sz w:val="28"/>
          <w:szCs w:val="28"/>
          <w:lang w:val="uk-UA"/>
        </w:rPr>
        <w:t>2</w:t>
      </w:r>
      <w:r w:rsidRPr="00DE09CC">
        <w:rPr>
          <w:b/>
          <w:bCs/>
          <w:sz w:val="28"/>
          <w:szCs w:val="28"/>
          <w:lang w:val="uk-UA"/>
        </w:rPr>
        <w:t>00 000</w:t>
      </w:r>
      <w:r w:rsidRPr="00DE09CC">
        <w:rPr>
          <w:sz w:val="28"/>
          <w:szCs w:val="28"/>
          <w:lang w:val="uk-UA"/>
        </w:rPr>
        <w:t xml:space="preserve"> грн. (загальний фонд)        </w:t>
      </w:r>
    </w:p>
    <w:p w14:paraId="09FDCFBC" w14:textId="77777777" w:rsidR="00DE09CC" w:rsidRPr="00DE09CC" w:rsidRDefault="00DE09CC" w:rsidP="00DE09C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Для головних розпорядників коштів у прогнозі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2026-2028 роки розраховано наступні граничні показники видатків міського бюджету та надання кредитів з міського бюджету згідно з додатком 6 до цього прогнозу. </w:t>
      </w:r>
    </w:p>
    <w:p w14:paraId="6917231B" w14:textId="77777777" w:rsidR="00DE09CC" w:rsidRPr="00DE09CC" w:rsidRDefault="00DE09CC" w:rsidP="00DE09CC">
      <w:pPr>
        <w:tabs>
          <w:tab w:val="left" w:pos="709"/>
          <w:tab w:val="left" w:pos="1134"/>
        </w:tabs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37AAAB69" w14:textId="77777777" w:rsidR="00DE09CC" w:rsidRPr="00DE09CC" w:rsidRDefault="00DE09CC" w:rsidP="00DE09CC">
      <w:pPr>
        <w:tabs>
          <w:tab w:val="left" w:pos="709"/>
          <w:tab w:val="left" w:pos="1134"/>
        </w:tabs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Іршавська міська рада рада</w:t>
      </w:r>
    </w:p>
    <w:p w14:paraId="297EA480" w14:textId="77777777" w:rsidR="00DE09CC" w:rsidRPr="00DE09CC" w:rsidRDefault="00DE09CC" w:rsidP="00DE09CC">
      <w:pPr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Граничні показники видатків міського бюджету та надання кредитів з міського бюджету головному розпоряднику коштів міського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Іршавській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міській </w:t>
      </w:r>
      <w:r w:rsidRPr="00DE09CC">
        <w:rPr>
          <w:rFonts w:ascii="Times New Roman" w:hAnsi="Times New Roman"/>
          <w:noProof/>
          <w:sz w:val="28"/>
          <w:szCs w:val="28"/>
          <w:lang w:val="uk-UA"/>
        </w:rPr>
        <w:t xml:space="preserve"> раді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прогнозуються: </w:t>
      </w:r>
    </w:p>
    <w:p w14:paraId="7A7995AB" w14:textId="77777777" w:rsidR="00DE09CC" w:rsidRPr="00DE09CC" w:rsidRDefault="00DE09CC" w:rsidP="00DE09C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у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77 695 800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, у тому числі загального фонду – 77 600 800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, спеціального фонду – 95 000 грн.,  кредитування -  200 00</w:t>
      </w:r>
      <w:bookmarkStart w:id="3" w:name="_Hlk206588862"/>
      <w:r w:rsidRPr="00DE09CC">
        <w:rPr>
          <w:rFonts w:ascii="Times New Roman" w:hAnsi="Times New Roman"/>
          <w:sz w:val="28"/>
          <w:szCs w:val="28"/>
          <w:lang w:val="uk-UA"/>
        </w:rPr>
        <w:t xml:space="preserve">0 грн. по загальному фонду; </w:t>
      </w:r>
    </w:p>
    <w:bookmarkEnd w:id="3"/>
    <w:p w14:paraId="256FB2CA" w14:textId="77777777" w:rsidR="00DE09CC" w:rsidRPr="00DE09CC" w:rsidRDefault="00DE09CC" w:rsidP="00DE09CC">
      <w:pPr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ab/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2027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у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84 695 500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, у тому числі загального фонду – 84 600 500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, спеціального фонду – 95 000 грн., кредитування - 200 000 грн</w:t>
      </w:r>
      <w:bookmarkStart w:id="4" w:name="_Hlk206589538"/>
      <w:r w:rsidRPr="00DE09CC">
        <w:rPr>
          <w:rFonts w:ascii="Times New Roman" w:hAnsi="Times New Roman"/>
          <w:sz w:val="28"/>
          <w:szCs w:val="28"/>
          <w:lang w:val="uk-UA"/>
        </w:rPr>
        <w:t>. по загальному фонду;</w:t>
      </w:r>
      <w:r w:rsidRPr="00DE09C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bookmarkEnd w:id="4"/>
    <w:p w14:paraId="492AB7FD" w14:textId="77777777" w:rsidR="00DE09CC" w:rsidRPr="00DE09CC" w:rsidRDefault="00DE09CC" w:rsidP="00DE09C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ab/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2028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у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90 895 900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, у тому числі загального фонду – 90 800 900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, спеціального фонду –  95 000 грн., кредитування – 200 000 грн.  по загальному фонду.</w:t>
      </w:r>
    </w:p>
    <w:p w14:paraId="06E13F21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0A3F7CC7" w14:textId="77777777" w:rsidR="00DE09CC" w:rsidRPr="00DE09CC" w:rsidRDefault="00DE09CC" w:rsidP="00DE09CC">
      <w:pPr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Відділ освіти, охорони здоров’я, культури, сім’ї, молоді та спорту,     </w:t>
      </w:r>
      <w:proofErr w:type="spellStart"/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 ради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0A2A314" w14:textId="77777777" w:rsidR="00DE09CC" w:rsidRPr="00DE09CC" w:rsidRDefault="00DE09CC" w:rsidP="00DE09CC">
      <w:pPr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Граничні показники видатків міського бюджету та надання кредитів з міського бюджету головному розпоряднику коштів міського бюджету </w:t>
      </w:r>
      <w:r w:rsidRPr="00DE09CC">
        <w:rPr>
          <w:rFonts w:ascii="Times New Roman" w:hAnsi="Times New Roman"/>
          <w:bCs/>
          <w:sz w:val="28"/>
          <w:szCs w:val="28"/>
          <w:lang w:val="uk-UA"/>
        </w:rPr>
        <w:t xml:space="preserve">Відділу освіти, охорони здоров’я, культури, сім’ї, молоді та спорту, </w:t>
      </w:r>
      <w:proofErr w:type="spellStart"/>
      <w:r w:rsidRPr="00DE09CC">
        <w:rPr>
          <w:rFonts w:ascii="Times New Roman" w:hAnsi="Times New Roman"/>
          <w:bCs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bCs/>
          <w:sz w:val="28"/>
          <w:szCs w:val="28"/>
          <w:lang w:val="uk-UA"/>
        </w:rPr>
        <w:t xml:space="preserve"> міської  ради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прогнозуються:</w:t>
      </w:r>
    </w:p>
    <w:p w14:paraId="3A57065D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у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374 914 370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 грн., у тому числі загального фонду –     366 715 100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, спеціального фонду – 8 199 270 грн., у тому числі за рахунок власних надходжень бюджетних установ – 8 199 270 грн.;</w:t>
      </w:r>
    </w:p>
    <w:p w14:paraId="379BFE4B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ab/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2027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у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404 518 854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у тому числі загального фонду – 395 806 700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, спеціального фонду – 8 712 154 грн., у тому числі  за рахунок  власних надходжень бюджетних установ – 8 712 154 грн.;</w:t>
      </w:r>
    </w:p>
    <w:p w14:paraId="76775B49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ab/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2028 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рік у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433 780 769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у тому числі загального фонду – 424 578 000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, спеціального фонду –  9 202 769 грн., у тому числі за рахунок  власних надходжень бюджетних установ – 9 202 769 грн.</w:t>
      </w:r>
    </w:p>
    <w:p w14:paraId="5BF5E9C4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15F3C6" w14:textId="77777777" w:rsidR="00DE09CC" w:rsidRPr="00DE09CC" w:rsidRDefault="00DE09CC" w:rsidP="00DE09CC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Pr="00DE09CC">
        <w:rPr>
          <w:rFonts w:ascii="Times New Roman" w:hAnsi="Times New Roman"/>
          <w:b/>
          <w:noProof/>
          <w:sz w:val="28"/>
          <w:szCs w:val="28"/>
          <w:lang w:val="uk-UA"/>
        </w:rPr>
        <w:t>Фінансовий відділ Іршавської міської ради</w:t>
      </w:r>
    </w:p>
    <w:p w14:paraId="5935B82A" w14:textId="77777777" w:rsidR="00DE09CC" w:rsidRPr="00DE09CC" w:rsidRDefault="00DE09CC" w:rsidP="00DE09CC">
      <w:pPr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Граничні показники видатків сільського бюджету та надання кредитів з міського бюджету головному розпоряднику коштів міського бюджету Фінансовому відділу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DE09CC">
        <w:rPr>
          <w:rFonts w:ascii="Times New Roman" w:hAnsi="Times New Roman"/>
          <w:noProof/>
          <w:sz w:val="28"/>
          <w:szCs w:val="28"/>
          <w:lang w:val="uk-UA"/>
        </w:rPr>
        <w:t xml:space="preserve"> ради</w:t>
      </w:r>
      <w:r w:rsidRPr="00DE09CC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Pr="00DE09CC">
        <w:rPr>
          <w:rFonts w:ascii="Times New Roman" w:hAnsi="Times New Roman"/>
          <w:bCs/>
          <w:noProof/>
          <w:sz w:val="28"/>
          <w:szCs w:val="28"/>
          <w:lang w:val="uk-UA"/>
        </w:rPr>
        <w:t>прогнозуються:</w:t>
      </w:r>
    </w:p>
    <w:p w14:paraId="7CE6F6CD" w14:textId="77777777" w:rsidR="00DE09CC" w:rsidRPr="00DE09CC" w:rsidRDefault="00DE09CC" w:rsidP="00DE09C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у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3 018 000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у тому числі 100 000 грн. – резервний фонд сільського бюджету;</w:t>
      </w:r>
    </w:p>
    <w:p w14:paraId="4397049E" w14:textId="77777777" w:rsidR="00DE09CC" w:rsidRPr="00DE09CC" w:rsidRDefault="00DE09CC" w:rsidP="00DE09C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2027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у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3 192 600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у тому числі 100 000 грн. резервний фонд сільського бюджету;</w:t>
      </w:r>
    </w:p>
    <w:p w14:paraId="1398FBB1" w14:textId="77777777" w:rsidR="00DE09CC" w:rsidRPr="00DE09CC" w:rsidRDefault="00DE09CC" w:rsidP="00DE09C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2028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у сумі 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>3 357 600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грн., у тому числі  100 000 грн. резервний фонд сільського бюджету.</w:t>
      </w:r>
    </w:p>
    <w:p w14:paraId="6EFC640E" w14:textId="77777777" w:rsidR="00DE09CC" w:rsidRPr="00DE09CC" w:rsidRDefault="00DE09CC" w:rsidP="00DE09C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204092409"/>
    </w:p>
    <w:bookmarkEnd w:id="5"/>
    <w:p w14:paraId="6397541C" w14:textId="77777777" w:rsidR="00DE09CC" w:rsidRPr="00DE09CC" w:rsidRDefault="00DE09CC" w:rsidP="00DE09CC">
      <w:pPr>
        <w:pStyle w:val="Default"/>
        <w:jc w:val="both"/>
        <w:rPr>
          <w:sz w:val="28"/>
          <w:szCs w:val="28"/>
        </w:rPr>
      </w:pPr>
      <w:r w:rsidRPr="00DE09CC">
        <w:rPr>
          <w:b/>
          <w:sz w:val="28"/>
          <w:szCs w:val="28"/>
        </w:rPr>
        <w:t xml:space="preserve">         </w:t>
      </w:r>
      <w:r w:rsidRPr="00DE09CC">
        <w:rPr>
          <w:sz w:val="28"/>
          <w:szCs w:val="28"/>
        </w:rPr>
        <w:t xml:space="preserve">Граничні показники видатків бюджету за Типовою програмною класифікацією видатків та кредитування місцевого бюджету відображені у додатку 7 до </w:t>
      </w:r>
      <w:proofErr w:type="spellStart"/>
      <w:r w:rsidRPr="00DE09CC">
        <w:rPr>
          <w:sz w:val="28"/>
          <w:szCs w:val="28"/>
        </w:rPr>
        <w:t>„Прогнозу</w:t>
      </w:r>
      <w:proofErr w:type="spellEnd"/>
      <w:r w:rsidRPr="00DE09CC">
        <w:rPr>
          <w:sz w:val="28"/>
          <w:szCs w:val="28"/>
        </w:rPr>
        <w:t xml:space="preserve"> бюджету </w:t>
      </w:r>
      <w:proofErr w:type="spellStart"/>
      <w:r w:rsidRPr="00DE09CC">
        <w:rPr>
          <w:sz w:val="28"/>
          <w:szCs w:val="28"/>
        </w:rPr>
        <w:t>Іршавської</w:t>
      </w:r>
      <w:proofErr w:type="spellEnd"/>
      <w:r w:rsidRPr="00DE09CC">
        <w:rPr>
          <w:sz w:val="28"/>
          <w:szCs w:val="28"/>
        </w:rPr>
        <w:t xml:space="preserve"> міської територіальної громади на 2026-2028 роки”. </w:t>
      </w:r>
    </w:p>
    <w:p w14:paraId="3F82AD15" w14:textId="77777777" w:rsidR="00DE09CC" w:rsidRPr="00DE09CC" w:rsidRDefault="00DE09CC" w:rsidP="00DE09CC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Напрями розвитку в основних сферах (галузях) діяльності та їх фінансове забезпечення, характеризується наступними показниками:</w:t>
      </w:r>
    </w:p>
    <w:p w14:paraId="1336E29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E09CC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</w:t>
      </w:r>
    </w:p>
    <w:p w14:paraId="6A5EF254" w14:textId="7FA3B088" w:rsidR="00DE09CC" w:rsidRPr="00DE09CC" w:rsidRDefault="00DE09CC" w:rsidP="009A430C">
      <w:pPr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Державне управління</w:t>
      </w:r>
    </w:p>
    <w:p w14:paraId="57838151" w14:textId="77777777" w:rsidR="00DE09CC" w:rsidRPr="00DE09CC" w:rsidRDefault="00DE09CC" w:rsidP="00DE09CC">
      <w:pPr>
        <w:pStyle w:val="Default"/>
        <w:rPr>
          <w:sz w:val="28"/>
          <w:szCs w:val="28"/>
        </w:rPr>
      </w:pPr>
      <w:r w:rsidRPr="00DE09CC">
        <w:rPr>
          <w:sz w:val="28"/>
          <w:szCs w:val="28"/>
        </w:rPr>
        <w:lastRenderedPageBreak/>
        <w:t xml:space="preserve">         Розрахунок видатків на утримання органів місцевого самоврядування проводився виходячи із штатної чисельності та мережі виконавчих органів ради. </w:t>
      </w:r>
    </w:p>
    <w:p w14:paraId="6B04E37B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Пріоритетним завданням виконавчих органів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міської ради є: </w:t>
      </w:r>
    </w:p>
    <w:p w14:paraId="3597C478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повноцінне забезпечення функціонування органів місцевого самоврядування та їх самостійних управлінь та відділів; </w:t>
      </w:r>
    </w:p>
    <w:p w14:paraId="1A5900E5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якісне виконання повноважень, визначених Конституцією України та іншими законодавчими актами; </w:t>
      </w:r>
    </w:p>
    <w:p w14:paraId="638407BD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забезпечення якісного контролю за використанням коштів у реалізації заходів програми соціально-економічного розвитку; </w:t>
      </w:r>
    </w:p>
    <w:p w14:paraId="5B29C07D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забезпечення доступності та якості управлінських та адміністративних послуг.</w:t>
      </w:r>
    </w:p>
    <w:p w14:paraId="6BCA6BA6" w14:textId="77777777" w:rsidR="00DE09CC" w:rsidRPr="00DE09CC" w:rsidRDefault="00DE09CC" w:rsidP="00DE09CC">
      <w:pPr>
        <w:rPr>
          <w:rFonts w:ascii="Times New Roman" w:hAnsi="Times New Roman"/>
          <w:iCs/>
          <w:sz w:val="28"/>
          <w:szCs w:val="28"/>
          <w:lang w:val="uk-UA"/>
        </w:rPr>
      </w:pPr>
      <w:r w:rsidRPr="00DE09CC">
        <w:rPr>
          <w:rFonts w:ascii="Times New Roman" w:hAnsi="Times New Roman"/>
          <w:i/>
          <w:sz w:val="28"/>
          <w:szCs w:val="28"/>
          <w:lang w:val="uk-UA"/>
        </w:rPr>
        <w:t xml:space="preserve">           </w:t>
      </w:r>
      <w:r w:rsidRPr="00DE09CC">
        <w:rPr>
          <w:rFonts w:ascii="Times New Roman" w:hAnsi="Times New Roman"/>
          <w:iCs/>
          <w:sz w:val="28"/>
          <w:szCs w:val="28"/>
          <w:lang w:val="uk-UA"/>
        </w:rPr>
        <w:t>Прогнозований обсяг видатків загального та спеціального фонду міського бюджету по цій галузі буде складати:</w:t>
      </w:r>
    </w:p>
    <w:p w14:paraId="4F90C341" w14:textId="77777777" w:rsidR="00DE09CC" w:rsidRPr="00DE09CC" w:rsidRDefault="00DE09CC" w:rsidP="00DE09CC">
      <w:pPr>
        <w:pStyle w:val="ac"/>
        <w:numPr>
          <w:ilvl w:val="0"/>
          <w:numId w:val="10"/>
        </w:numPr>
        <w:rPr>
          <w:i/>
          <w:sz w:val="28"/>
          <w:szCs w:val="28"/>
          <w:u w:val="single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на </w:t>
      </w:r>
      <w:r w:rsidRPr="00DE09CC">
        <w:rPr>
          <w:b/>
          <w:bCs/>
          <w:iCs/>
          <w:sz w:val="28"/>
          <w:szCs w:val="28"/>
          <w:lang w:val="uk-UA"/>
        </w:rPr>
        <w:t>2026</w:t>
      </w:r>
      <w:r w:rsidRPr="00DE09CC">
        <w:rPr>
          <w:iCs/>
          <w:sz w:val="28"/>
          <w:szCs w:val="28"/>
          <w:lang w:val="uk-UA"/>
        </w:rPr>
        <w:t xml:space="preserve"> рік – 50 230 252 грн.;</w:t>
      </w:r>
    </w:p>
    <w:p w14:paraId="7F9F6981" w14:textId="77777777" w:rsidR="00DE09CC" w:rsidRPr="00DE09CC" w:rsidRDefault="00DE09CC" w:rsidP="00DE09CC">
      <w:pPr>
        <w:pStyle w:val="ac"/>
        <w:numPr>
          <w:ilvl w:val="0"/>
          <w:numId w:val="10"/>
        </w:numPr>
        <w:rPr>
          <w:i/>
          <w:sz w:val="28"/>
          <w:szCs w:val="28"/>
          <w:u w:val="single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на </w:t>
      </w:r>
      <w:r w:rsidRPr="00DE09CC">
        <w:rPr>
          <w:b/>
          <w:bCs/>
          <w:iCs/>
          <w:sz w:val="28"/>
          <w:szCs w:val="28"/>
          <w:lang w:val="uk-UA"/>
        </w:rPr>
        <w:t>2027</w:t>
      </w:r>
      <w:r w:rsidRPr="00DE09CC">
        <w:rPr>
          <w:iCs/>
          <w:sz w:val="28"/>
          <w:szCs w:val="28"/>
          <w:lang w:val="uk-UA"/>
        </w:rPr>
        <w:t xml:space="preserve"> рік -  54 184 133 грн.;</w:t>
      </w:r>
    </w:p>
    <w:p w14:paraId="219F725A" w14:textId="77777777" w:rsidR="00DE09CC" w:rsidRPr="00DE09CC" w:rsidRDefault="00DE09CC" w:rsidP="00DE09CC">
      <w:pPr>
        <w:pStyle w:val="ac"/>
        <w:numPr>
          <w:ilvl w:val="0"/>
          <w:numId w:val="10"/>
        </w:numPr>
        <w:rPr>
          <w:i/>
          <w:sz w:val="28"/>
          <w:szCs w:val="28"/>
          <w:u w:val="single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на </w:t>
      </w:r>
      <w:r w:rsidRPr="00DE09CC">
        <w:rPr>
          <w:b/>
          <w:bCs/>
          <w:iCs/>
          <w:sz w:val="28"/>
          <w:szCs w:val="28"/>
          <w:lang w:val="uk-UA"/>
        </w:rPr>
        <w:t xml:space="preserve">2028 </w:t>
      </w:r>
      <w:r w:rsidRPr="00DE09CC">
        <w:rPr>
          <w:iCs/>
          <w:sz w:val="28"/>
          <w:szCs w:val="28"/>
          <w:lang w:val="uk-UA"/>
        </w:rPr>
        <w:t>рік -  57 609 284 грн.</w:t>
      </w:r>
      <w:r w:rsidRPr="00DE09CC">
        <w:rPr>
          <w:i/>
          <w:sz w:val="28"/>
          <w:szCs w:val="28"/>
          <w:lang w:val="uk-UA"/>
        </w:rPr>
        <w:t xml:space="preserve">                                  </w:t>
      </w:r>
      <w:r w:rsidRPr="00DE09CC">
        <w:rPr>
          <w:i/>
          <w:sz w:val="28"/>
          <w:szCs w:val="28"/>
          <w:u w:val="single"/>
          <w:lang w:val="uk-UA"/>
        </w:rPr>
        <w:t xml:space="preserve"> </w:t>
      </w:r>
    </w:p>
    <w:p w14:paraId="7CF29D2A" w14:textId="77777777" w:rsidR="00DE09CC" w:rsidRPr="00DE09CC" w:rsidRDefault="00DE09CC" w:rsidP="00DE09CC">
      <w:pPr>
        <w:rPr>
          <w:rFonts w:ascii="Times New Roman" w:hAnsi="Times New Roman"/>
          <w:i/>
          <w:sz w:val="28"/>
          <w:szCs w:val="28"/>
          <w:lang w:val="uk-UA"/>
        </w:rPr>
      </w:pPr>
      <w:r w:rsidRPr="00DE09CC">
        <w:rPr>
          <w:rFonts w:ascii="Times New Roman" w:hAnsi="Times New Roman"/>
          <w:iCs/>
          <w:sz w:val="28"/>
          <w:szCs w:val="28"/>
          <w:lang w:val="uk-UA"/>
        </w:rPr>
        <w:t xml:space="preserve">          Зростання обсягу видатків в основному буде відбуватися за рахунок зростання цін на енергоресурси та на оплату послуг.</w:t>
      </w:r>
      <w:r w:rsidRPr="00DE09CC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</w:t>
      </w:r>
    </w:p>
    <w:p w14:paraId="0284567D" w14:textId="77777777" w:rsidR="00DE09CC" w:rsidRPr="00DE09CC" w:rsidRDefault="00DE09CC" w:rsidP="00DE09CC">
      <w:pPr>
        <w:rPr>
          <w:rFonts w:ascii="Times New Roman" w:hAnsi="Times New Roman"/>
          <w:i/>
          <w:sz w:val="28"/>
          <w:szCs w:val="28"/>
          <w:lang w:val="uk-UA"/>
        </w:rPr>
      </w:pPr>
    </w:p>
    <w:p w14:paraId="758D2692" w14:textId="5A097125" w:rsidR="00DE09CC" w:rsidRPr="00DE09CC" w:rsidRDefault="00DE09CC" w:rsidP="00DE09CC">
      <w:pPr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Освіта</w:t>
      </w:r>
    </w:p>
    <w:p w14:paraId="430D9E62" w14:textId="77777777" w:rsidR="00DE09CC" w:rsidRPr="00DE09CC" w:rsidRDefault="00DE09CC" w:rsidP="00DE09CC">
      <w:pPr>
        <w:rPr>
          <w:rFonts w:ascii="Times New Roman" w:hAnsi="Times New Roman"/>
          <w:sz w:val="26"/>
          <w:szCs w:val="26"/>
          <w:lang w:val="uk-UA"/>
        </w:rPr>
      </w:pPr>
      <w:r w:rsidRPr="00DE09CC">
        <w:rPr>
          <w:rFonts w:ascii="Times New Roman" w:hAnsi="Times New Roman"/>
          <w:sz w:val="26"/>
          <w:szCs w:val="26"/>
          <w:lang w:val="uk-UA"/>
        </w:rPr>
        <w:t xml:space="preserve">            </w:t>
      </w:r>
      <w:r w:rsidRPr="00DE09CC">
        <w:rPr>
          <w:rFonts w:ascii="Times New Roman" w:hAnsi="Times New Roman"/>
          <w:sz w:val="28"/>
          <w:szCs w:val="28"/>
          <w:lang w:val="uk-UA"/>
        </w:rPr>
        <w:t>Пріоритетом розвитку галузі освіти є забезпечення доступності високоякісної освіти, забезпечення модернізації освітніх послуг та підвищення доступності якісних освітніх послуг</w:t>
      </w:r>
      <w:r w:rsidRPr="00DE09CC">
        <w:rPr>
          <w:rFonts w:ascii="Times New Roman" w:hAnsi="Times New Roman"/>
          <w:sz w:val="26"/>
          <w:szCs w:val="26"/>
          <w:lang w:val="uk-UA"/>
        </w:rPr>
        <w:t>.</w:t>
      </w:r>
    </w:p>
    <w:p w14:paraId="7C81EC4A" w14:textId="77777777" w:rsidR="00DE09CC" w:rsidRPr="00DE09CC" w:rsidRDefault="00DE09CC" w:rsidP="00DE09CC">
      <w:pPr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  Цілі державної регіональної та місцевої політики, реалізація яких здійснюватиметься у середньостроковий період:</w:t>
      </w:r>
    </w:p>
    <w:p w14:paraId="1F52D928" w14:textId="77777777" w:rsidR="00DE09CC" w:rsidRPr="00DE09CC" w:rsidRDefault="00DE09CC" w:rsidP="00DE09CC">
      <w:pPr>
        <w:pStyle w:val="ac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uk-UA" w:eastAsia="en-US"/>
        </w:rPr>
      </w:pPr>
      <w:r w:rsidRPr="00DE09CC">
        <w:rPr>
          <w:rFonts w:eastAsiaTheme="minorHAnsi"/>
          <w:color w:val="000000"/>
          <w:sz w:val="28"/>
          <w:szCs w:val="28"/>
          <w:lang w:val="uk-UA" w:eastAsia="en-US"/>
        </w:rPr>
        <w:t xml:space="preserve">створення належних умов для надання якісної дошкільної освіти та виховання дітей; </w:t>
      </w:r>
    </w:p>
    <w:p w14:paraId="48619A30" w14:textId="77777777" w:rsidR="00DE09CC" w:rsidRPr="00DE09CC" w:rsidRDefault="00DE09CC" w:rsidP="00DE09CC">
      <w:pPr>
        <w:pStyle w:val="ac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uk-UA" w:eastAsia="en-US"/>
        </w:rPr>
      </w:pPr>
      <w:r w:rsidRPr="00DE09CC">
        <w:rPr>
          <w:rFonts w:eastAsiaTheme="minorHAnsi"/>
          <w:color w:val="000000"/>
          <w:sz w:val="28"/>
          <w:szCs w:val="28"/>
          <w:lang w:val="uk-UA" w:eastAsia="en-US"/>
        </w:rPr>
        <w:t xml:space="preserve">повноцінного надання загальної середньої освіти у закладах загальної середньої освіти; </w:t>
      </w:r>
    </w:p>
    <w:p w14:paraId="6365084A" w14:textId="77777777" w:rsidR="00DE09CC" w:rsidRPr="00DE09CC" w:rsidRDefault="00DE09CC" w:rsidP="00DE09CC">
      <w:pPr>
        <w:pStyle w:val="ac"/>
        <w:numPr>
          <w:ilvl w:val="0"/>
          <w:numId w:val="10"/>
        </w:numPr>
        <w:rPr>
          <w:sz w:val="28"/>
          <w:szCs w:val="28"/>
          <w:lang w:val="uk-UA"/>
        </w:rPr>
      </w:pPr>
      <w:r w:rsidRPr="00DE09CC">
        <w:rPr>
          <w:rFonts w:eastAsiaTheme="minorHAnsi"/>
          <w:color w:val="000000"/>
          <w:sz w:val="28"/>
          <w:szCs w:val="28"/>
          <w:lang w:val="uk-UA" w:eastAsia="en-US"/>
        </w:rPr>
        <w:t>забезпечення доступності спеціальної освіти мистецькими школами.</w:t>
      </w:r>
    </w:p>
    <w:p w14:paraId="35FBEB74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облаштування безпечних умов для проведення освітнього процесу в закладах освіти з метою забезпечення доступності і безперервності освіти незалежно від </w:t>
      </w:r>
      <w:proofErr w:type="spellStart"/>
      <w:r w:rsidRPr="00DE09CC">
        <w:rPr>
          <w:iCs/>
          <w:sz w:val="28"/>
          <w:szCs w:val="28"/>
          <w:lang w:val="uk-UA"/>
        </w:rPr>
        <w:t>безпекової</w:t>
      </w:r>
      <w:proofErr w:type="spellEnd"/>
      <w:r w:rsidRPr="00DE09CC">
        <w:rPr>
          <w:iCs/>
          <w:sz w:val="28"/>
          <w:szCs w:val="28"/>
          <w:lang w:val="uk-UA"/>
        </w:rPr>
        <w:t xml:space="preserve"> ситуації;</w:t>
      </w:r>
    </w:p>
    <w:p w14:paraId="1C84A28D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>продовження реалізації реформи «Нова українська школа», організації освітнього процесу у старшій профільній школі;</w:t>
      </w:r>
    </w:p>
    <w:p w14:paraId="275CB3CC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забезпечення безпечного та інклюзивного освітнього середовища для доступу до якісної освіти, зокрема здобуття освіти безпосередньо в </w:t>
      </w:r>
      <w:r w:rsidRPr="00DE09CC">
        <w:rPr>
          <w:iCs/>
          <w:sz w:val="28"/>
          <w:szCs w:val="28"/>
          <w:lang w:val="uk-UA"/>
        </w:rPr>
        <w:lastRenderedPageBreak/>
        <w:t>закладах освіти, що сприятиме підвищенню якості освітніх послуг і поверненню громадян України із-за кордону;</w:t>
      </w:r>
    </w:p>
    <w:p w14:paraId="2A6A51E8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>забезпечення реалізації права учнів 1-4 класів та учнів пільгової категорії на повноцінне харчування, зниження рівня захворюваності, підтримку фізичного та психічного здоров’я школярів;</w:t>
      </w:r>
      <w:r w:rsidRPr="00DE09CC">
        <w:rPr>
          <w:sz w:val="28"/>
          <w:szCs w:val="28"/>
          <w:lang w:val="uk-UA"/>
        </w:rPr>
        <w:t xml:space="preserve"> </w:t>
      </w:r>
    </w:p>
    <w:p w14:paraId="4BD4FEFB" w14:textId="77777777" w:rsidR="00DE09CC" w:rsidRPr="00DE09CC" w:rsidRDefault="00DE09CC" w:rsidP="00DE09CC">
      <w:pPr>
        <w:ind w:left="555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забезпечення належного функціонування загальноосвітніх та                       дошкільних закладів та інших закладів освіти; </w:t>
      </w:r>
    </w:p>
    <w:p w14:paraId="4546CAE2" w14:textId="77777777" w:rsidR="00DE09CC" w:rsidRPr="00DE09CC" w:rsidRDefault="00DE09CC" w:rsidP="00DE09CC">
      <w:pPr>
        <w:ind w:left="555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забезпечення належного теплового режиму, зменшення показників    споживання енергоносіїв, в тому числі природного газу.</w:t>
      </w:r>
    </w:p>
    <w:p w14:paraId="47E228ED" w14:textId="77777777" w:rsidR="00DE09CC" w:rsidRPr="00DE09CC" w:rsidRDefault="00DE09CC" w:rsidP="00DE09CC">
      <w:pPr>
        <w:ind w:left="555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Прогнозований обсяг видатків загального та спеціального фонду міського бюджету по цій галузі буде складати :</w:t>
      </w:r>
    </w:p>
    <w:p w14:paraId="4A48EA5B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b/>
          <w:bCs/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>на</w:t>
      </w:r>
      <w:r w:rsidRPr="00DE09CC">
        <w:rPr>
          <w:b/>
          <w:bCs/>
          <w:iCs/>
          <w:sz w:val="28"/>
          <w:szCs w:val="28"/>
          <w:lang w:val="uk-UA"/>
        </w:rPr>
        <w:t xml:space="preserve"> 2026 рік – </w:t>
      </w:r>
      <w:r w:rsidRPr="00DE09CC">
        <w:rPr>
          <w:bCs/>
          <w:iCs/>
          <w:sz w:val="28"/>
          <w:szCs w:val="28"/>
          <w:lang w:val="uk-UA"/>
        </w:rPr>
        <w:t>339 458 762</w:t>
      </w:r>
      <w:r w:rsidRPr="00DE09CC">
        <w:rPr>
          <w:iCs/>
          <w:sz w:val="28"/>
          <w:szCs w:val="28"/>
          <w:lang w:val="uk-UA"/>
        </w:rPr>
        <w:t xml:space="preserve"> грн.;</w:t>
      </w:r>
    </w:p>
    <w:p w14:paraId="6A53923A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>на</w:t>
      </w:r>
      <w:r w:rsidRPr="00DE09CC">
        <w:rPr>
          <w:b/>
          <w:bCs/>
          <w:iCs/>
          <w:sz w:val="28"/>
          <w:szCs w:val="28"/>
          <w:lang w:val="uk-UA"/>
        </w:rPr>
        <w:t xml:space="preserve"> 2027</w:t>
      </w:r>
      <w:r w:rsidRPr="00DE09CC">
        <w:rPr>
          <w:iCs/>
          <w:sz w:val="28"/>
          <w:szCs w:val="28"/>
          <w:lang w:val="uk-UA"/>
        </w:rPr>
        <w:t xml:space="preserve"> рік – 365 947 765 грн.;</w:t>
      </w:r>
    </w:p>
    <w:p w14:paraId="231DADDD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на </w:t>
      </w:r>
      <w:r w:rsidRPr="00DE09CC">
        <w:rPr>
          <w:b/>
          <w:bCs/>
          <w:iCs/>
          <w:sz w:val="28"/>
          <w:szCs w:val="28"/>
          <w:lang w:val="uk-UA"/>
        </w:rPr>
        <w:t>2028</w:t>
      </w:r>
      <w:r w:rsidRPr="00DE09CC">
        <w:rPr>
          <w:iCs/>
          <w:sz w:val="28"/>
          <w:szCs w:val="28"/>
          <w:lang w:val="uk-UA"/>
        </w:rPr>
        <w:t xml:space="preserve"> рік – 292 297 211 грн.</w:t>
      </w:r>
    </w:p>
    <w:p w14:paraId="44A3B540" w14:textId="77777777" w:rsidR="00DE09CC" w:rsidRPr="00DE09CC" w:rsidRDefault="00DE09CC" w:rsidP="00DE09CC">
      <w:pPr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E09CC">
        <w:rPr>
          <w:rFonts w:ascii="Times New Roman" w:hAnsi="Times New Roman"/>
          <w:iCs/>
          <w:sz w:val="28"/>
          <w:szCs w:val="28"/>
          <w:lang w:val="uk-UA"/>
        </w:rPr>
        <w:t xml:space="preserve">            По даній галузі визначено ряд  інвестиційних проектів на реалізацію  яких заплановано кошти місцевого бюджету,  у тому числі по роках:</w:t>
      </w:r>
    </w:p>
    <w:p w14:paraId="576D3A68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>на 2026 рік – 3 200 000 грн.;</w:t>
      </w:r>
    </w:p>
    <w:p w14:paraId="14667FAD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>на 2027 рік – 3 000 000 грн.;</w:t>
      </w:r>
    </w:p>
    <w:p w14:paraId="3B3CC5CC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на 2028 рік – 11 900 000 грн.  </w:t>
      </w:r>
    </w:p>
    <w:p w14:paraId="257CF48F" w14:textId="77777777" w:rsidR="00DE09CC" w:rsidRPr="00DE09CC" w:rsidRDefault="00DE09CC" w:rsidP="00DE09CC">
      <w:pPr>
        <w:ind w:firstLine="708"/>
        <w:jc w:val="center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14:paraId="45353AEA" w14:textId="37467C79" w:rsidR="00DE09CC" w:rsidRPr="00DE09CC" w:rsidRDefault="00DE09CC" w:rsidP="00DE09CC">
      <w:pPr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09CC">
        <w:rPr>
          <w:rFonts w:ascii="Times New Roman" w:hAnsi="Times New Roman"/>
          <w:sz w:val="28"/>
          <w:szCs w:val="28"/>
        </w:rPr>
        <w:t>Охорона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21EDA3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Пріоритетами розвитку галузі є забезпечення населення територіальної громади високоякісними і доступними медичними послугами та створення сприятливих умов життєдіяльності людини. </w:t>
      </w:r>
    </w:p>
    <w:p w14:paraId="7EA65CC1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Органи місцевого самоврядування реалізують державну політику у сфері охорони здоров'я в межах своїх повноважень, передбачених чинним законодавством України. </w:t>
      </w:r>
    </w:p>
    <w:p w14:paraId="4F415073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З цією метою у 2026-2028 роках планується здійснити наступні заходи: </w:t>
      </w:r>
    </w:p>
    <w:p w14:paraId="17B81AAE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- впровадження нових підходів до організації роботи закладів охорони здоров’я громади та їх фінансового забезпечення; </w:t>
      </w:r>
    </w:p>
    <w:p w14:paraId="0CE442F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DE09CC">
        <w:rPr>
          <w:rFonts w:ascii="Times New Roman" w:hAnsi="Times New Roman"/>
          <w:sz w:val="28"/>
          <w:szCs w:val="28"/>
        </w:rPr>
        <w:t>п</w:t>
      </w:r>
      <w:proofErr w:type="gramEnd"/>
      <w:r w:rsidRPr="00DE09CC">
        <w:rPr>
          <w:rFonts w:ascii="Times New Roman" w:hAnsi="Times New Roman"/>
          <w:sz w:val="28"/>
          <w:szCs w:val="28"/>
        </w:rPr>
        <w:t>ідвищення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рівня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09CC">
        <w:rPr>
          <w:rFonts w:ascii="Times New Roman" w:hAnsi="Times New Roman"/>
          <w:sz w:val="28"/>
          <w:szCs w:val="28"/>
        </w:rPr>
        <w:t>розширення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щодо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його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доступності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E09CC">
        <w:rPr>
          <w:rFonts w:ascii="Times New Roman" w:hAnsi="Times New Roman"/>
          <w:sz w:val="28"/>
          <w:szCs w:val="28"/>
        </w:rPr>
        <w:t>якості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; </w:t>
      </w:r>
    </w:p>
    <w:p w14:paraId="2BE957E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забезпечення готовності до реагування на епідемії, інфекційні захворювання та надзвичайні ситуації;</w:t>
      </w:r>
    </w:p>
    <w:p w14:paraId="31DDAA1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подальше сприяння у належному функціонуванні медичних закладів первинної  та вторинної ланки;</w:t>
      </w:r>
    </w:p>
    <w:p w14:paraId="1FD2C2D2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- покращення матеріально-технічної бази закладів охорони здоров'я;</w:t>
      </w:r>
    </w:p>
    <w:p w14:paraId="7388A7EF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lastRenderedPageBreak/>
        <w:t>- фінансовий захист пацієнтів із хронічними захворюваннями за допомогою підвищення доступності до пріоритетних лікарських засобів за пільговими рецептами.</w:t>
      </w:r>
    </w:p>
    <w:p w14:paraId="5C9F7E20" w14:textId="77777777" w:rsidR="00DE09CC" w:rsidRPr="00DE09CC" w:rsidRDefault="00DE09CC" w:rsidP="00DE09CC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- забезпечення оплати енергоносіїв та комунальних послуг закладів охорони здоров'я територіальної громади.</w:t>
      </w:r>
      <w:bookmarkStart w:id="6" w:name="_Hlk206597015"/>
    </w:p>
    <w:p w14:paraId="6DB666AB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Прогнозовані обсяги видатків на середньостроковий період будуть складати:</w:t>
      </w:r>
    </w:p>
    <w:p w14:paraId="098D8E2F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17 827 203 грн., з них на реалізацію інвестиційних проектів – 2 000 000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;</w:t>
      </w:r>
    </w:p>
    <w:p w14:paraId="16944F4F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2027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19 548 856 грн. , з них на реалізацію інвестиційних проектів – 1 000 000 грн.;</w:t>
      </w:r>
    </w:p>
    <w:p w14:paraId="52B33FF2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2028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21 094 134 грн., з них на реалізацію інвестиційного проекту – 5 000 000 грн.</w:t>
      </w:r>
      <w:bookmarkEnd w:id="6"/>
    </w:p>
    <w:p w14:paraId="41A9143C" w14:textId="77777777" w:rsidR="00DE09CC" w:rsidRPr="00DE09CC" w:rsidRDefault="00DE09CC" w:rsidP="00DE09CC">
      <w:pPr>
        <w:ind w:firstLine="708"/>
        <w:jc w:val="center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14:paraId="0E7A1C2A" w14:textId="62229064" w:rsidR="00DE09CC" w:rsidRPr="00DE09CC" w:rsidRDefault="00DE09CC" w:rsidP="00207AF7">
      <w:pPr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Соціальний захист та соціальне забезпечення</w:t>
      </w:r>
    </w:p>
    <w:p w14:paraId="2BA57C17" w14:textId="77777777" w:rsidR="00DE09CC" w:rsidRPr="00DE09CC" w:rsidRDefault="00DE09CC" w:rsidP="00DE09CC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Цілі державної, регіональної та місцевої політики, реалізація яких здійснюватиметься у середньостроковий період:</w:t>
      </w:r>
    </w:p>
    <w:p w14:paraId="06964F3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підтримка громадян у складних життєвих обставинах, забезпечення максимальної адресності та  наближеності надання соціальної підтримки тим, хто її потребує; </w:t>
      </w:r>
    </w:p>
    <w:p w14:paraId="4F69575B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прозорість та максимальна об’єктивність критеріїв в отриманні соціальної підтримки; </w:t>
      </w:r>
    </w:p>
    <w:p w14:paraId="17491341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удосконалення підходів, спрямованих на реалізацію прав дітей, їх соціального захисту, всебічного розвитку та виховання в сімейному оточенні;</w:t>
      </w:r>
    </w:p>
    <w:p w14:paraId="69746C3E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удосконалення механізму надання соціальних послуг з метою наближення їх до вразливих груп населення;</w:t>
      </w:r>
    </w:p>
    <w:p w14:paraId="3269793D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підтримка осіб з інвалідністю, здійснення заходів, спрямованих на створення умов для реалізації особами з інвалідністю права на працю;</w:t>
      </w:r>
    </w:p>
    <w:p w14:paraId="135CF68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- реалізація заходів для оздоровлення дітей, які потребують особливої соціальної уваги та підтримки;</w:t>
      </w:r>
    </w:p>
    <w:p w14:paraId="706A3297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- рівної участі жінок і чоловіків у всіх сферах життєдіяльності;</w:t>
      </w:r>
    </w:p>
    <w:p w14:paraId="3523C8BC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соціальний захист та супровід учасників і ветеранів війни та членів їх сімей, адаптація їх в мирному житті. </w:t>
      </w:r>
    </w:p>
    <w:p w14:paraId="38D8B422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lastRenderedPageBreak/>
        <w:t>Прогнозований обсяг видатків на фінансування галузі у середньостроковому періоді буде складати:</w:t>
      </w:r>
    </w:p>
    <w:p w14:paraId="6C833C0A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 </w:t>
      </w:r>
      <w:r w:rsidRPr="00DE09CC">
        <w:rPr>
          <w:b/>
          <w:bCs/>
          <w:sz w:val="28"/>
          <w:szCs w:val="28"/>
          <w:lang w:val="uk-UA"/>
        </w:rPr>
        <w:t>2026</w:t>
      </w:r>
      <w:r w:rsidRPr="00DE09CC">
        <w:rPr>
          <w:sz w:val="28"/>
          <w:szCs w:val="28"/>
          <w:lang w:val="uk-UA"/>
        </w:rPr>
        <w:t xml:space="preserve"> рік – 9 759 600 грн.;</w:t>
      </w:r>
    </w:p>
    <w:p w14:paraId="01A3349D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2027</w:t>
      </w:r>
      <w:r w:rsidRPr="00DE09CC">
        <w:rPr>
          <w:sz w:val="28"/>
          <w:szCs w:val="28"/>
          <w:lang w:val="uk-UA"/>
        </w:rPr>
        <w:t xml:space="preserve"> рік – 10 383 200 грн.;</w:t>
      </w:r>
    </w:p>
    <w:p w14:paraId="6D260A94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2028</w:t>
      </w:r>
      <w:r w:rsidRPr="00DE09CC">
        <w:rPr>
          <w:sz w:val="28"/>
          <w:szCs w:val="28"/>
          <w:lang w:val="uk-UA"/>
        </w:rPr>
        <w:t xml:space="preserve"> рік – 11 359 200 грн.</w:t>
      </w:r>
    </w:p>
    <w:p w14:paraId="6770BBA9" w14:textId="77777777" w:rsidR="00DE09CC" w:rsidRPr="00DE09CC" w:rsidRDefault="00DE09CC" w:rsidP="00DE09CC">
      <w:pPr>
        <w:ind w:firstLine="708"/>
        <w:jc w:val="center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14:paraId="1E2A824F" w14:textId="630A45EF" w:rsidR="00DE09CC" w:rsidRPr="00DE09CC" w:rsidRDefault="00DE09CC" w:rsidP="00DE09CC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</w:t>
      </w:r>
      <w:r w:rsidRPr="00DE09CC">
        <w:rPr>
          <w:rFonts w:ascii="Times New Roman" w:hAnsi="Times New Roman"/>
          <w:sz w:val="28"/>
          <w:szCs w:val="28"/>
        </w:rPr>
        <w:t xml:space="preserve">Культура і </w:t>
      </w:r>
      <w:proofErr w:type="spellStart"/>
      <w:r w:rsidRPr="00DE09CC">
        <w:rPr>
          <w:rFonts w:ascii="Times New Roman" w:hAnsi="Times New Roman"/>
          <w:sz w:val="28"/>
          <w:szCs w:val="28"/>
        </w:rPr>
        <w:t>мистецтв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о </w:t>
      </w:r>
    </w:p>
    <w:p w14:paraId="5FD5D7A8" w14:textId="77777777" w:rsidR="00DE09CC" w:rsidRPr="00DE09CC" w:rsidRDefault="00DE09CC" w:rsidP="00DE09CC">
      <w:pPr>
        <w:ind w:firstLine="708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proofErr w:type="gramStart"/>
      <w:r w:rsidRPr="00DE09CC">
        <w:rPr>
          <w:rFonts w:ascii="Times New Roman" w:hAnsi="Times New Roman"/>
          <w:sz w:val="28"/>
          <w:szCs w:val="28"/>
        </w:rPr>
        <w:t>Пр</w:t>
      </w:r>
      <w:proofErr w:type="gramEnd"/>
      <w:r w:rsidRPr="00DE09CC">
        <w:rPr>
          <w:rFonts w:ascii="Times New Roman" w:hAnsi="Times New Roman"/>
          <w:sz w:val="28"/>
          <w:szCs w:val="28"/>
        </w:rPr>
        <w:t>іоритетами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галузі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є:</w:t>
      </w:r>
    </w:p>
    <w:p w14:paraId="29BF2265" w14:textId="77777777" w:rsidR="00DE09CC" w:rsidRPr="00DE09CC" w:rsidRDefault="00DE09CC" w:rsidP="00DE09CC">
      <w:pPr>
        <w:pStyle w:val="ac"/>
        <w:numPr>
          <w:ilvl w:val="0"/>
          <w:numId w:val="10"/>
        </w:numPr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>підвищення культурного рівня, естетичного виховання громадян, збереження культурно-духовної спадщини та традицій українського народу;</w:t>
      </w:r>
    </w:p>
    <w:p w14:paraId="249758C8" w14:textId="77777777" w:rsidR="00DE09CC" w:rsidRPr="00DE09CC" w:rsidRDefault="00DE09CC" w:rsidP="00DE09CC">
      <w:pPr>
        <w:ind w:left="555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9C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E09CC">
        <w:rPr>
          <w:rFonts w:ascii="Times New Roman" w:hAnsi="Times New Roman"/>
          <w:sz w:val="28"/>
          <w:szCs w:val="28"/>
        </w:rPr>
        <w:t>популяризація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народної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E09C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культурно-</w:t>
      </w:r>
      <w:proofErr w:type="spellStart"/>
      <w:r w:rsidRPr="00DE09CC">
        <w:rPr>
          <w:rFonts w:ascii="Times New Roman" w:hAnsi="Times New Roman"/>
          <w:sz w:val="28"/>
          <w:szCs w:val="28"/>
        </w:rPr>
        <w:t>мистецьких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заході</w:t>
      </w:r>
      <w:proofErr w:type="gramStart"/>
      <w:r w:rsidRPr="00DE09CC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DE09CC">
        <w:rPr>
          <w:rFonts w:ascii="Times New Roman" w:hAnsi="Times New Roman"/>
          <w:sz w:val="28"/>
          <w:szCs w:val="28"/>
          <w:lang w:val="uk-UA"/>
        </w:rPr>
        <w:t xml:space="preserve">;   </w:t>
      </w:r>
    </w:p>
    <w:p w14:paraId="5D35AD32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- створення максимально сприятливих умов для творчого формування особистості, розкриття її здібностей, задоволення духовних і естетичних проблем, відродження народної творчості та популяризації національних звичаїв та обрядів, організацію змістовного дозвілля, масового відпочинку та культурного обслуговування населення.   </w:t>
      </w:r>
    </w:p>
    <w:p w14:paraId="6F424E5F" w14:textId="77777777" w:rsidR="00DE09CC" w:rsidRPr="00DE09CC" w:rsidRDefault="00DE09CC" w:rsidP="00DE09CC">
      <w:pPr>
        <w:ind w:left="555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Прогнозований обсяг видатків загального та спеціального фонду міського бюджету по цій галузі буде складати :</w:t>
      </w:r>
    </w:p>
    <w:p w14:paraId="5DC59256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на </w:t>
      </w:r>
      <w:r w:rsidRPr="00DE09CC">
        <w:rPr>
          <w:b/>
          <w:bCs/>
          <w:iCs/>
          <w:sz w:val="28"/>
          <w:szCs w:val="28"/>
          <w:lang w:val="uk-UA"/>
        </w:rPr>
        <w:t>2026</w:t>
      </w:r>
      <w:r w:rsidRPr="00DE09CC">
        <w:rPr>
          <w:iCs/>
          <w:sz w:val="28"/>
          <w:szCs w:val="28"/>
          <w:lang w:val="uk-UA"/>
        </w:rPr>
        <w:t xml:space="preserve"> рік – 8 459 545 грн.;</w:t>
      </w:r>
    </w:p>
    <w:p w14:paraId="7F8BE8CC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на </w:t>
      </w:r>
      <w:r w:rsidRPr="00DE09CC">
        <w:rPr>
          <w:b/>
          <w:bCs/>
          <w:iCs/>
          <w:sz w:val="28"/>
          <w:szCs w:val="28"/>
          <w:lang w:val="uk-UA"/>
        </w:rPr>
        <w:t>2027</w:t>
      </w:r>
      <w:r w:rsidRPr="00DE09CC">
        <w:rPr>
          <w:iCs/>
          <w:sz w:val="28"/>
          <w:szCs w:val="28"/>
          <w:lang w:val="uk-UA"/>
        </w:rPr>
        <w:t xml:space="preserve"> рік – 9 145 481 грн.;</w:t>
      </w:r>
    </w:p>
    <w:p w14:paraId="356EC81B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на </w:t>
      </w:r>
      <w:r w:rsidRPr="00DE09CC">
        <w:rPr>
          <w:b/>
          <w:bCs/>
          <w:iCs/>
          <w:sz w:val="28"/>
          <w:szCs w:val="28"/>
          <w:lang w:val="uk-UA"/>
        </w:rPr>
        <w:t>2028</w:t>
      </w:r>
      <w:r w:rsidRPr="00DE09CC">
        <w:rPr>
          <w:iCs/>
          <w:sz w:val="28"/>
          <w:szCs w:val="28"/>
          <w:lang w:val="uk-UA"/>
        </w:rPr>
        <w:t xml:space="preserve"> рік – 9 814 016 грн.</w:t>
      </w:r>
    </w:p>
    <w:p w14:paraId="75FF8028" w14:textId="77777777" w:rsidR="00DE09CC" w:rsidRPr="00DE09CC" w:rsidRDefault="00DE09CC" w:rsidP="00DE09CC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E09CC">
        <w:rPr>
          <w:rFonts w:ascii="Times New Roman" w:hAnsi="Times New Roman"/>
          <w:iCs/>
          <w:sz w:val="28"/>
          <w:szCs w:val="28"/>
          <w:lang w:val="uk-UA"/>
        </w:rPr>
        <w:t xml:space="preserve">            </w:t>
      </w:r>
      <w:r w:rsidRPr="00DE09CC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</w:t>
      </w:r>
    </w:p>
    <w:p w14:paraId="65E48241" w14:textId="01709F56" w:rsidR="00DE09CC" w:rsidRPr="00DE09CC" w:rsidRDefault="00DE09CC" w:rsidP="00207AF7">
      <w:pPr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Фізична культура і спорт</w:t>
      </w:r>
    </w:p>
    <w:p w14:paraId="00FE4B59" w14:textId="77777777" w:rsidR="00DE09CC" w:rsidRPr="00DE09CC" w:rsidRDefault="00DE09CC" w:rsidP="00DE09CC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Пріоритетами розвитку галузі є:</w:t>
      </w:r>
    </w:p>
    <w:p w14:paraId="369D4ECE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підвищення рівня залучення населення до занять фізичною культурою та масовим спортом, набуття навичок здорового способу життя, зміцнення здоров’я нації та попередження захворювань;</w:t>
      </w:r>
    </w:p>
    <w:p w14:paraId="4BE4F487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- удосконалення системи дитячо-юнацького спорту, створення умов для розвитку індивідуальних здібностей спортсменів на етапах багаторічної підготовки; </w:t>
      </w:r>
    </w:p>
    <w:p w14:paraId="2985AD1F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- створення сучасних спортивних об’єктів для занять фізичною культурою та спортом за місцем проживання і в зонах масового відпочинку населення; </w:t>
      </w:r>
    </w:p>
    <w:p w14:paraId="084F3C15" w14:textId="77777777" w:rsidR="00DE09CC" w:rsidRPr="00DE09CC" w:rsidRDefault="00DE09CC" w:rsidP="00DE09CC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- забезпечення охоплення школярів заняттями в спортивних школах та секціях; </w:t>
      </w:r>
    </w:p>
    <w:p w14:paraId="62C09F7C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lastRenderedPageBreak/>
        <w:t xml:space="preserve">        - підтримка та розвиток олімпійських та </w:t>
      </w:r>
      <w:proofErr w:type="spellStart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неолімпійських</w:t>
      </w:r>
      <w:proofErr w:type="spellEnd"/>
      <w:r w:rsidRPr="00DE09C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видів спорту</w:t>
      </w:r>
      <w:r w:rsidRPr="00DE09CC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>.</w:t>
      </w:r>
    </w:p>
    <w:p w14:paraId="12B3382F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Прогнозовані обсяги видатків на середньостроковий період будуть складати:</w:t>
      </w:r>
    </w:p>
    <w:p w14:paraId="007F1847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на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 2026 </w:t>
      </w:r>
      <w:r w:rsidRPr="00DE09CC">
        <w:rPr>
          <w:rFonts w:ascii="Times New Roman" w:hAnsi="Times New Roman"/>
          <w:sz w:val="28"/>
          <w:szCs w:val="28"/>
          <w:lang w:val="uk-UA"/>
        </w:rPr>
        <w:t>рік – 6 294 208 грн.;</w:t>
      </w:r>
    </w:p>
    <w:p w14:paraId="26D30DEC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на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 2027 </w:t>
      </w:r>
      <w:r w:rsidRPr="00DE09CC">
        <w:rPr>
          <w:rFonts w:ascii="Times New Roman" w:hAnsi="Times New Roman"/>
          <w:sz w:val="28"/>
          <w:szCs w:val="28"/>
          <w:lang w:val="uk-UA"/>
        </w:rPr>
        <w:t>рік – 6 762 379 грн.;</w:t>
      </w:r>
    </w:p>
    <w:p w14:paraId="20591485" w14:textId="62F8BC6C" w:rsid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2028 </w:t>
      </w:r>
      <w:r w:rsidRPr="00DE09CC">
        <w:rPr>
          <w:rFonts w:ascii="Times New Roman" w:hAnsi="Times New Roman"/>
          <w:sz w:val="28"/>
          <w:szCs w:val="28"/>
          <w:lang w:val="uk-UA"/>
        </w:rPr>
        <w:t>рік –7 225 474 грн.</w:t>
      </w:r>
    </w:p>
    <w:p w14:paraId="7B6167BA" w14:textId="77777777" w:rsidR="00207AF7" w:rsidRPr="00DE09CC" w:rsidRDefault="00207AF7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D1E29A" w14:textId="589D4CFB" w:rsidR="00DE09CC" w:rsidRDefault="00DE09CC" w:rsidP="00207AF7">
      <w:pPr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Житлово-комунальне господарство</w:t>
      </w:r>
    </w:p>
    <w:p w14:paraId="56EF26B1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 утримання в належному стані доріг і вулиць комунальної власності та доріг загального користування;</w:t>
      </w:r>
    </w:p>
    <w:p w14:paraId="2FAC3662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утримання в належному  санітарному стані території  громади;</w:t>
      </w:r>
    </w:p>
    <w:p w14:paraId="7CAF1E8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- збереження та утримання на належному рівні зелених зон, кладовищ, зон відпочинку, прибережної смуги; </w:t>
      </w:r>
    </w:p>
    <w:p w14:paraId="6532DB1C" w14:textId="77777777" w:rsidR="00DE09CC" w:rsidRPr="00DE09CC" w:rsidRDefault="00DE09CC" w:rsidP="00DE09CC">
      <w:pPr>
        <w:ind w:left="555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- забезпечення функціонування системи вуличного освітлення.    Прогнозований обсяг видатків загального та спеціального фонду сільського бюджету по цій галузі буде складати :</w:t>
      </w:r>
    </w:p>
    <w:p w14:paraId="6B0CB8AE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>на</w:t>
      </w:r>
      <w:r w:rsidRPr="00DE09CC">
        <w:rPr>
          <w:b/>
          <w:bCs/>
          <w:iCs/>
          <w:sz w:val="28"/>
          <w:szCs w:val="28"/>
          <w:lang w:val="uk-UA"/>
        </w:rPr>
        <w:t xml:space="preserve"> 2026</w:t>
      </w:r>
      <w:r w:rsidRPr="00DE09CC">
        <w:rPr>
          <w:iCs/>
          <w:sz w:val="28"/>
          <w:szCs w:val="28"/>
          <w:lang w:val="uk-UA"/>
        </w:rPr>
        <w:t xml:space="preserve"> рік – 19 350 000 грн.;</w:t>
      </w:r>
    </w:p>
    <w:p w14:paraId="6215E08C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на </w:t>
      </w:r>
      <w:r w:rsidRPr="00DE09CC">
        <w:rPr>
          <w:b/>
          <w:bCs/>
          <w:iCs/>
          <w:sz w:val="28"/>
          <w:szCs w:val="28"/>
          <w:lang w:val="uk-UA"/>
        </w:rPr>
        <w:t>2027</w:t>
      </w:r>
      <w:r w:rsidRPr="00DE09CC">
        <w:rPr>
          <w:iCs/>
          <w:sz w:val="28"/>
          <w:szCs w:val="28"/>
          <w:lang w:val="uk-UA"/>
        </w:rPr>
        <w:t xml:space="preserve"> рік – 23 075 000 грн.;</w:t>
      </w:r>
    </w:p>
    <w:p w14:paraId="7C5445EE" w14:textId="77777777" w:rsidR="00DE09CC" w:rsidRPr="00DE09CC" w:rsidRDefault="00DE09CC" w:rsidP="00DE09CC">
      <w:pPr>
        <w:pStyle w:val="ac"/>
        <w:numPr>
          <w:ilvl w:val="0"/>
          <w:numId w:val="10"/>
        </w:numPr>
        <w:jc w:val="both"/>
        <w:rPr>
          <w:iCs/>
          <w:sz w:val="28"/>
          <w:szCs w:val="28"/>
          <w:lang w:val="uk-UA"/>
        </w:rPr>
      </w:pPr>
      <w:r w:rsidRPr="00DE09CC">
        <w:rPr>
          <w:iCs/>
          <w:sz w:val="28"/>
          <w:szCs w:val="28"/>
          <w:lang w:val="uk-UA"/>
        </w:rPr>
        <w:t xml:space="preserve">на </w:t>
      </w:r>
      <w:r w:rsidRPr="00DE09CC">
        <w:rPr>
          <w:b/>
          <w:bCs/>
          <w:iCs/>
          <w:sz w:val="28"/>
          <w:szCs w:val="28"/>
          <w:lang w:val="uk-UA"/>
        </w:rPr>
        <w:t>2028</w:t>
      </w:r>
      <w:r w:rsidRPr="00DE09CC">
        <w:rPr>
          <w:iCs/>
          <w:sz w:val="28"/>
          <w:szCs w:val="28"/>
          <w:lang w:val="uk-UA"/>
        </w:rPr>
        <w:t xml:space="preserve"> рік – 24 633 000 грн.</w:t>
      </w:r>
    </w:p>
    <w:p w14:paraId="02AA374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A8D8B5" w14:textId="259F0F81" w:rsidR="00DE09CC" w:rsidRPr="00DE09CC" w:rsidRDefault="00DE09CC" w:rsidP="00207AF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Економічна діяльність</w:t>
      </w:r>
    </w:p>
    <w:p w14:paraId="1E8E6635" w14:textId="77777777" w:rsidR="00DE09CC" w:rsidRPr="00DE09CC" w:rsidRDefault="00DE09CC" w:rsidP="00DE09C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E09CC"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Pr="00DE09CC">
        <w:rPr>
          <w:rFonts w:ascii="Times New Roman" w:hAnsi="Times New Roman"/>
          <w:sz w:val="28"/>
          <w:szCs w:val="28"/>
          <w:lang w:val="uk-UA"/>
        </w:rPr>
        <w:t>Пріоритетами у розвитку економічної діяльності є організація сприятливого і комфортного життєвого простору шляхом створення умов для розвитку соціальної інфраструктури громади, забезпечення ефективного та надійного функціонування інженерних мереж і комунікацій, сприяння підвищенню комфортного проживання громадян на території громади</w:t>
      </w:r>
      <w:r w:rsidRPr="00DE09CC">
        <w:rPr>
          <w:rFonts w:ascii="Times New Roman" w:hAnsi="Times New Roman"/>
          <w:sz w:val="26"/>
          <w:szCs w:val="26"/>
          <w:lang w:val="uk-UA"/>
        </w:rPr>
        <w:t>.</w:t>
      </w:r>
    </w:p>
    <w:p w14:paraId="57F3B98C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DE09CC">
        <w:rPr>
          <w:rFonts w:ascii="Times New Roman" w:hAnsi="Times New Roman"/>
          <w:sz w:val="28"/>
          <w:szCs w:val="28"/>
          <w:lang w:val="uk-UA"/>
        </w:rPr>
        <w:t>За рахунок бюджету міської територіальної громади фінансуються наступні напрямки:</w:t>
      </w:r>
    </w:p>
    <w:p w14:paraId="3C2215D6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розвиток дорожньо-транспортної інфраструктури громади; </w:t>
      </w:r>
    </w:p>
    <w:p w14:paraId="02AC94C1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>забезпечення функціонування та розвиток інфраструктури у населених пунктах громади;</w:t>
      </w:r>
    </w:p>
    <w:p w14:paraId="31D353B5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>здійснення заходів із землеустрою</w:t>
      </w:r>
    </w:p>
    <w:p w14:paraId="133F04F3" w14:textId="77777777" w:rsidR="00DE09CC" w:rsidRPr="00DE09CC" w:rsidRDefault="00DE09CC" w:rsidP="00DE09CC">
      <w:pPr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Прогнозований обсяг видатків на середньостроковий період буде складати:</w:t>
      </w:r>
    </w:p>
    <w:p w14:paraId="73AD9F9D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2026</w:t>
      </w:r>
      <w:r w:rsidRPr="00DE09CC">
        <w:rPr>
          <w:sz w:val="28"/>
          <w:szCs w:val="28"/>
          <w:lang w:val="uk-UA"/>
        </w:rPr>
        <w:t xml:space="preserve"> рік – 3 754 600 грн.;</w:t>
      </w:r>
    </w:p>
    <w:p w14:paraId="66D132DC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lastRenderedPageBreak/>
        <w:t xml:space="preserve">на </w:t>
      </w:r>
      <w:r w:rsidRPr="00DE09CC">
        <w:rPr>
          <w:b/>
          <w:bCs/>
          <w:sz w:val="28"/>
          <w:szCs w:val="28"/>
          <w:lang w:val="uk-UA"/>
        </w:rPr>
        <w:t>2027</w:t>
      </w:r>
      <w:r w:rsidRPr="00DE09CC">
        <w:rPr>
          <w:sz w:val="28"/>
          <w:szCs w:val="28"/>
          <w:lang w:val="uk-UA"/>
        </w:rPr>
        <w:t xml:space="preserve"> рік – 2 859 140 грн.;</w:t>
      </w:r>
    </w:p>
    <w:p w14:paraId="02990043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2028</w:t>
      </w:r>
      <w:r w:rsidRPr="00DE09CC">
        <w:rPr>
          <w:sz w:val="28"/>
          <w:szCs w:val="28"/>
          <w:lang w:val="uk-UA"/>
        </w:rPr>
        <w:t xml:space="preserve"> рік –3 494 950 грн.</w:t>
      </w:r>
    </w:p>
    <w:p w14:paraId="42ABB1C1" w14:textId="77777777" w:rsidR="00DE09CC" w:rsidRPr="00DE09CC" w:rsidRDefault="00DE09CC" w:rsidP="00DE09CC">
      <w:pPr>
        <w:pStyle w:val="ac"/>
        <w:ind w:left="1068"/>
        <w:jc w:val="center"/>
        <w:rPr>
          <w:i/>
          <w:sz w:val="28"/>
          <w:szCs w:val="28"/>
          <w:u w:val="single"/>
          <w:lang w:val="uk-UA"/>
        </w:rPr>
      </w:pPr>
    </w:p>
    <w:p w14:paraId="4FCF016C" w14:textId="77777777" w:rsidR="00DE09CC" w:rsidRPr="00DE09CC" w:rsidRDefault="00DE09CC" w:rsidP="00207AF7">
      <w:pPr>
        <w:pStyle w:val="ac"/>
        <w:ind w:left="1068"/>
        <w:jc w:val="center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>Інша діяльність</w:t>
      </w:r>
    </w:p>
    <w:p w14:paraId="53766194" w14:textId="77777777" w:rsidR="00DE09CC" w:rsidRPr="00DE09CC" w:rsidRDefault="00DE09CC" w:rsidP="00DE09CC">
      <w:pPr>
        <w:pStyle w:val="ac"/>
        <w:ind w:left="1068"/>
        <w:jc w:val="center"/>
        <w:rPr>
          <w:sz w:val="28"/>
          <w:szCs w:val="28"/>
          <w:lang w:val="uk-UA"/>
        </w:rPr>
      </w:pPr>
    </w:p>
    <w:p w14:paraId="7F8A4055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  Цілі державної, регіональної та місцевої політики, реалізація яких здійснюватиметься у середньостроковому періоді:</w:t>
      </w:r>
    </w:p>
    <w:p w14:paraId="75D2E759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>ліквідація забруднення навколишнього природного середовища;</w:t>
      </w:r>
    </w:p>
    <w:p w14:paraId="370245E2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 розчищення прибережних смуг річок та потічків;</w:t>
      </w:r>
    </w:p>
    <w:p w14:paraId="6D3FAF03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>проведення природоохоронних заходів на території громади.</w:t>
      </w:r>
    </w:p>
    <w:p w14:paraId="3F2A03F8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>надання фінансової підтримки індивідуальним забудовникам житла на селі через механізм пільгового кредитування по регіональній програмі «Власний дім»;</w:t>
      </w:r>
    </w:p>
    <w:p w14:paraId="49E720ED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  Прогнозований обсяг видатків на середньостроковий період буде складати:</w:t>
      </w:r>
    </w:p>
    <w:p w14:paraId="42E70A26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2026</w:t>
      </w:r>
      <w:r w:rsidRPr="00DE09CC">
        <w:rPr>
          <w:sz w:val="28"/>
          <w:szCs w:val="28"/>
          <w:lang w:val="uk-UA"/>
        </w:rPr>
        <w:t xml:space="preserve"> рік – 294 000 грн.;</w:t>
      </w:r>
    </w:p>
    <w:p w14:paraId="347D3CC8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2027</w:t>
      </w:r>
      <w:r w:rsidRPr="00DE09CC">
        <w:rPr>
          <w:sz w:val="28"/>
          <w:szCs w:val="28"/>
          <w:lang w:val="uk-UA"/>
        </w:rPr>
        <w:t xml:space="preserve"> рік – 301 000 грн.;</w:t>
      </w:r>
    </w:p>
    <w:p w14:paraId="43918A7D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2028</w:t>
      </w:r>
      <w:r w:rsidRPr="00DE09CC">
        <w:rPr>
          <w:sz w:val="28"/>
          <w:szCs w:val="28"/>
          <w:lang w:val="uk-UA"/>
        </w:rPr>
        <w:t xml:space="preserve"> рік – 307 000 грн. </w:t>
      </w:r>
    </w:p>
    <w:p w14:paraId="417AC257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          У загальному обсязі видатків враховано також і обсяг коштів від надходження екологічного податку, який справляється за викиди в атмосферне повітря забруднюючих речовин стаціонарними джерелами забруднення.</w:t>
      </w:r>
    </w:p>
    <w:p w14:paraId="1D7E50C9" w14:textId="77777777" w:rsidR="00DE09CC" w:rsidRPr="00DE09CC" w:rsidRDefault="00DE09CC" w:rsidP="00DE09CC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</w:t>
      </w:r>
    </w:p>
    <w:p w14:paraId="6E9B2DDB" w14:textId="11DA95F6" w:rsidR="00DE09CC" w:rsidRPr="00DE09CC" w:rsidRDefault="00DE09CC" w:rsidP="00BE549F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DE09CC">
        <w:rPr>
          <w:rFonts w:ascii="Times New Roman" w:hAnsi="Times New Roman"/>
          <w:bCs/>
          <w:sz w:val="28"/>
          <w:szCs w:val="28"/>
          <w:lang w:val="uk-UA"/>
        </w:rPr>
        <w:t>Кредитування</w:t>
      </w:r>
    </w:p>
    <w:p w14:paraId="523B2C8F" w14:textId="77777777" w:rsidR="00DE09CC" w:rsidRPr="00DE09CC" w:rsidRDefault="00DE09CC" w:rsidP="00DE09CC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Для надання кредитів, головному розпоряднику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Іршавській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міській раді, передбачаються граничні показники:</w:t>
      </w:r>
    </w:p>
    <w:p w14:paraId="4329497C" w14:textId="77777777" w:rsidR="00DE09CC" w:rsidRPr="00DE09CC" w:rsidRDefault="00DE09CC" w:rsidP="00DE09CC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по загальному фонду міського бюджету:</w:t>
      </w:r>
    </w:p>
    <w:p w14:paraId="21F4E43A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2026</w:t>
      </w:r>
      <w:r w:rsidRPr="00DE09CC">
        <w:rPr>
          <w:sz w:val="28"/>
          <w:szCs w:val="28"/>
          <w:lang w:val="uk-UA"/>
        </w:rPr>
        <w:t xml:space="preserve"> рік – 200 000 </w:t>
      </w:r>
      <w:proofErr w:type="spellStart"/>
      <w:r w:rsidRPr="00DE09CC">
        <w:rPr>
          <w:sz w:val="28"/>
          <w:szCs w:val="28"/>
          <w:lang w:val="uk-UA"/>
        </w:rPr>
        <w:t>грн</w:t>
      </w:r>
      <w:proofErr w:type="spellEnd"/>
      <w:r w:rsidRPr="00DE09CC">
        <w:rPr>
          <w:sz w:val="28"/>
          <w:szCs w:val="28"/>
          <w:lang w:val="uk-UA"/>
        </w:rPr>
        <w:t>;</w:t>
      </w:r>
    </w:p>
    <w:p w14:paraId="4AE4582A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2027</w:t>
      </w:r>
      <w:r w:rsidRPr="00DE09CC">
        <w:rPr>
          <w:sz w:val="28"/>
          <w:szCs w:val="28"/>
          <w:lang w:val="uk-UA"/>
        </w:rPr>
        <w:t xml:space="preserve"> рік – 200 000 </w:t>
      </w:r>
      <w:proofErr w:type="spellStart"/>
      <w:r w:rsidRPr="00DE09CC">
        <w:rPr>
          <w:sz w:val="28"/>
          <w:szCs w:val="28"/>
          <w:lang w:val="uk-UA"/>
        </w:rPr>
        <w:t>грн</w:t>
      </w:r>
      <w:proofErr w:type="spellEnd"/>
      <w:r w:rsidRPr="00DE09CC">
        <w:rPr>
          <w:sz w:val="28"/>
          <w:szCs w:val="28"/>
          <w:lang w:val="uk-UA"/>
        </w:rPr>
        <w:t>;</w:t>
      </w:r>
    </w:p>
    <w:p w14:paraId="35172DF5" w14:textId="77777777" w:rsidR="00DE09CC" w:rsidRPr="00DE09CC" w:rsidRDefault="00DE09CC" w:rsidP="00DE09CC">
      <w:pPr>
        <w:pStyle w:val="ac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E09CC">
        <w:rPr>
          <w:sz w:val="28"/>
          <w:szCs w:val="28"/>
          <w:lang w:val="uk-UA"/>
        </w:rPr>
        <w:t xml:space="preserve">на </w:t>
      </w:r>
      <w:r w:rsidRPr="00DE09CC">
        <w:rPr>
          <w:b/>
          <w:bCs/>
          <w:sz w:val="28"/>
          <w:szCs w:val="28"/>
          <w:lang w:val="uk-UA"/>
        </w:rPr>
        <w:t>2028</w:t>
      </w:r>
      <w:r w:rsidRPr="00DE09CC">
        <w:rPr>
          <w:sz w:val="28"/>
          <w:szCs w:val="28"/>
          <w:lang w:val="uk-UA"/>
        </w:rPr>
        <w:t xml:space="preserve"> рік – 200 000 грн..</w:t>
      </w:r>
    </w:p>
    <w:p w14:paraId="554ADCA8" w14:textId="77777777" w:rsidR="00DE09CC" w:rsidRPr="00DE09CC" w:rsidRDefault="00DE09CC" w:rsidP="00DE09CC">
      <w:pPr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DE09CC">
        <w:rPr>
          <w:rFonts w:ascii="Times New Roman" w:hAnsi="Times New Roman"/>
          <w:bCs/>
          <w:noProof/>
          <w:sz w:val="28"/>
          <w:szCs w:val="28"/>
          <w:lang w:val="uk-UA"/>
        </w:rPr>
        <w:t>Прогнозні показники  кредитування міського бюджету наведені у додатку 8 до цього прогнозу.</w:t>
      </w:r>
    </w:p>
    <w:p w14:paraId="33FFEBE7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E56922" w14:textId="09B7B7D7" w:rsidR="00DE09CC" w:rsidRPr="00DE09CC" w:rsidRDefault="00DE09CC" w:rsidP="00DE09CC">
      <w:pPr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</w:rPr>
        <w:t>V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 xml:space="preserve">ІІ Взаємовідносини бюджету з іншими бюджетами </w:t>
      </w:r>
    </w:p>
    <w:p w14:paraId="3EFF0F19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Міжбюджетні трансферти з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державного бюджету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для бюджету</w:t>
      </w:r>
      <w:r w:rsidRPr="00DE09C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E09CC">
        <w:rPr>
          <w:rFonts w:ascii="Times New Roman" w:hAnsi="Times New Roman"/>
          <w:b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складають:</w:t>
      </w:r>
    </w:p>
    <w:p w14:paraId="59F31270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  <w:lang w:val="uk-UA"/>
        </w:rPr>
        <w:t xml:space="preserve"> на 2026 рік </w:t>
      </w:r>
    </w:p>
    <w:p w14:paraId="5D174327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освітня субвенція 151 506 900 грн.; </w:t>
      </w:r>
    </w:p>
    <w:p w14:paraId="607821A8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lastRenderedPageBreak/>
        <w:t xml:space="preserve">базова дотація – 54 759 700 грн.; </w:t>
      </w:r>
    </w:p>
    <w:p w14:paraId="7BB018D9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  <w:lang w:val="uk-UA"/>
        </w:rPr>
        <w:t xml:space="preserve">на 2027 рік </w:t>
      </w:r>
    </w:p>
    <w:p w14:paraId="2DB62F79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освітня субвенція 163 470 300 грн.; </w:t>
      </w:r>
    </w:p>
    <w:p w14:paraId="41480B59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базова дотація – 60 285 300 грн.;</w:t>
      </w:r>
    </w:p>
    <w:p w14:paraId="03E83FBC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  <w:lang w:val="uk-UA"/>
        </w:rPr>
        <w:t xml:space="preserve"> на 2028 рік </w:t>
      </w:r>
    </w:p>
    <w:p w14:paraId="7FE1C012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освітня субвенція 175 433 600 грн.;</w:t>
      </w:r>
    </w:p>
    <w:p w14:paraId="12927C43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базова дотація – 100 822 100 грн.</w:t>
      </w:r>
    </w:p>
    <w:p w14:paraId="18B5C44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З  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обласного бюджету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передбачено міжбюджетний трансферт у вигляді дотації з місцевого бюджету на здійснення переданих з державного бюджету видатків з утримання закладів освіти та охорони здоров’я за рахунок відповідної дотації з державного бюджету:</w:t>
      </w:r>
    </w:p>
    <w:p w14:paraId="1037722C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899 700 грн.</w:t>
      </w:r>
    </w:p>
    <w:p w14:paraId="3A23B310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2027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899 700 грн.</w:t>
      </w:r>
    </w:p>
    <w:p w14:paraId="069945AE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2028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899 400 грн.</w:t>
      </w:r>
    </w:p>
    <w:p w14:paraId="4112E80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Субвенція з місцевого бюджету на здійснення переданих видатків у сфері освіти за рахунок коштів освітньої субвенції:</w:t>
      </w:r>
    </w:p>
    <w:p w14:paraId="0D5BF06B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3 061 500 грн.</w:t>
      </w:r>
    </w:p>
    <w:p w14:paraId="1B23023A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2027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3 303 300 грн.</w:t>
      </w:r>
    </w:p>
    <w:p w14:paraId="48759BD4" w14:textId="7384BEB8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2028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рік – 3 545 100 грн.</w:t>
      </w:r>
    </w:p>
    <w:p w14:paraId="62E7DC8B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Прогнозні обсяги міжбюджетних трансфертів з інших бюджетів у розрізі їх видів на середньостроковий період наведені у додатку 10 до цього прогнозу.</w:t>
      </w:r>
    </w:p>
    <w:p w14:paraId="7404BA1A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З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Кам'янської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передбачається надання міжбюджетного трансферту бюджету 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 міської територіальної громади  на спільне утримання КУ  «Інклюзивно-ресурсний центр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ради» та КУ «Центр професійного розвитку педагогічних працівників»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ради, у тому числі обсяги міжбюджетного трансферту будуть складати :</w:t>
      </w:r>
    </w:p>
    <w:p w14:paraId="74647014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році  - 150 000 грн.</w:t>
      </w:r>
    </w:p>
    <w:p w14:paraId="4C2C9A0A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2027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році – 160 000 грн.</w:t>
      </w:r>
    </w:p>
    <w:p w14:paraId="661E4553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DE09CC">
        <w:rPr>
          <w:rFonts w:ascii="Times New Roman" w:hAnsi="Times New Roman"/>
          <w:b/>
          <w:bCs/>
          <w:sz w:val="28"/>
          <w:szCs w:val="28"/>
          <w:lang w:val="uk-UA"/>
        </w:rPr>
        <w:t>2028</w:t>
      </w:r>
      <w:r w:rsidRPr="00DE09CC">
        <w:rPr>
          <w:rFonts w:ascii="Times New Roman" w:hAnsi="Times New Roman"/>
          <w:sz w:val="28"/>
          <w:szCs w:val="28"/>
          <w:lang w:val="uk-UA"/>
        </w:rPr>
        <w:t xml:space="preserve"> році – 170 000 грн.</w:t>
      </w:r>
    </w:p>
    <w:p w14:paraId="32567D3C" w14:textId="77777777" w:rsidR="00DE09CC" w:rsidRPr="00DE09CC" w:rsidRDefault="00DE09CC" w:rsidP="00DE09C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048C56" w14:textId="681472CB" w:rsidR="00DE09CC" w:rsidRPr="00DE09CC" w:rsidRDefault="00DE09CC" w:rsidP="00DE09CC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b/>
          <w:sz w:val="28"/>
          <w:szCs w:val="28"/>
          <w:lang w:val="uk-UA"/>
        </w:rPr>
        <w:t>ІХ. Інші положення та показники прогнозу бюджету</w:t>
      </w:r>
    </w:p>
    <w:p w14:paraId="13889F3A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lastRenderedPageBreak/>
        <w:t xml:space="preserve">В прогнозі бюджету </w:t>
      </w:r>
      <w:proofErr w:type="spellStart"/>
      <w:r w:rsidRPr="00DE09CC">
        <w:rPr>
          <w:rFonts w:ascii="Times New Roman" w:hAnsi="Times New Roman"/>
          <w:sz w:val="28"/>
          <w:szCs w:val="28"/>
          <w:lang w:val="uk-UA"/>
        </w:rPr>
        <w:t>Іршавської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2026-2028 роки наявні наступні додатки: </w:t>
      </w:r>
    </w:p>
    <w:p w14:paraId="7B5141B1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додаток 1 «Загальні показники бюджету»; </w:t>
      </w:r>
    </w:p>
    <w:p w14:paraId="77522A6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додаток 2 «Показники доходів бюджету»; </w:t>
      </w:r>
    </w:p>
    <w:p w14:paraId="263151B7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додаток 3 «Показники фінансування бюджету»; </w:t>
      </w:r>
    </w:p>
    <w:p w14:paraId="4D18980C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додаток 6 «Граничні показники видатків бюджету та надання кредитів з бюджету головним розпорядникам коштів»;</w:t>
      </w:r>
    </w:p>
    <w:p w14:paraId="438DD189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 додаток 7 «Граничні показники видатків бюджету за Типовою програмною класифікацією видатків та кредитування місцевого бюджету»; </w:t>
      </w:r>
    </w:p>
    <w:p w14:paraId="32AC520E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додаток 8 «Граничні показники кредитування бюджету за Типовою програмною класифікацією видатків та кредитування місцевого бюджету»; </w:t>
      </w:r>
    </w:p>
    <w:p w14:paraId="17D4C266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додаток 9 «Обсяг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територіальної громади»; </w:t>
      </w:r>
    </w:p>
    <w:p w14:paraId="58327854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додаток 10 «Показники міжбюджетних трансфертів з інших бюджетів»; </w:t>
      </w:r>
    </w:p>
    <w:p w14:paraId="233F0DFA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07F308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Н</w:t>
      </w:r>
      <w:r w:rsidRPr="00DE09CC">
        <w:rPr>
          <w:rFonts w:ascii="Times New Roman" w:hAnsi="Times New Roman"/>
          <w:sz w:val="28"/>
          <w:szCs w:val="28"/>
        </w:rPr>
        <w:t xml:space="preserve">е </w:t>
      </w:r>
      <w:proofErr w:type="spellStart"/>
      <w:r w:rsidRPr="00DE09CC">
        <w:rPr>
          <w:rFonts w:ascii="Times New Roman" w:hAnsi="Times New Roman"/>
          <w:sz w:val="28"/>
          <w:szCs w:val="28"/>
        </w:rPr>
        <w:t>подається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до прогнозу, у </w:t>
      </w:r>
      <w:proofErr w:type="spellStart"/>
      <w:r w:rsidRPr="00DE09CC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E09CC">
        <w:rPr>
          <w:rFonts w:ascii="Times New Roman" w:hAnsi="Times New Roman"/>
          <w:sz w:val="28"/>
          <w:szCs w:val="28"/>
        </w:rPr>
        <w:t>відсутністю</w:t>
      </w:r>
      <w:proofErr w:type="spellEnd"/>
      <w:r w:rsidRPr="00DE0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9CC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DE09CC">
        <w:rPr>
          <w:rFonts w:ascii="Times New Roman" w:hAnsi="Times New Roman"/>
          <w:sz w:val="28"/>
          <w:szCs w:val="28"/>
          <w:lang w:val="uk-UA"/>
        </w:rPr>
        <w:t>:</w:t>
      </w:r>
    </w:p>
    <w:p w14:paraId="5D03511F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додаток 4 «Показники місцевого боргу»; </w:t>
      </w:r>
    </w:p>
    <w:p w14:paraId="634BFC95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>додаток 5 «Показники надання місцевих гарантій, обсягу гарантійних зобов’язань та гарантованого Автономною Республікою Крим, обласною радою, міською, селищною чи сільською територіальною громадою боргу»;</w:t>
      </w:r>
    </w:p>
    <w:p w14:paraId="7525D6AA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9CC">
        <w:rPr>
          <w:rFonts w:ascii="Times New Roman" w:hAnsi="Times New Roman"/>
          <w:sz w:val="28"/>
          <w:szCs w:val="28"/>
          <w:lang w:val="uk-UA"/>
        </w:rPr>
        <w:t xml:space="preserve">додаток 11 «Показники міжбюджетних трансфертів іншим бюджетам». </w:t>
      </w:r>
    </w:p>
    <w:p w14:paraId="47A91F3C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2014CB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6ABA38" w14:textId="77777777" w:rsidR="00107FDE" w:rsidRDefault="00107FDE" w:rsidP="00107FDE">
      <w:pPr>
        <w:pStyle w:val="a5"/>
        <w:ind w:firstLine="0"/>
        <w:rPr>
          <w:b/>
          <w:sz w:val="28"/>
          <w:szCs w:val="28"/>
        </w:rPr>
      </w:pPr>
      <w:r w:rsidRPr="00F3783F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іський голова</w:t>
      </w:r>
      <w:r w:rsidRPr="00F3783F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</w:t>
      </w:r>
      <w:r w:rsidRPr="00F3783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</w:t>
      </w:r>
      <w:r w:rsidRPr="00F378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Віктор</w:t>
      </w:r>
      <w:r w:rsidRPr="00F3783F">
        <w:rPr>
          <w:b/>
          <w:sz w:val="28"/>
          <w:szCs w:val="28"/>
        </w:rPr>
        <w:t xml:space="preserve"> СИМКАНИНЕЦЬ</w:t>
      </w:r>
    </w:p>
    <w:p w14:paraId="45DC8A62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5A90B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C22E3DD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18C5918" w14:textId="77777777" w:rsidR="00DE09CC" w:rsidRPr="00DE09CC" w:rsidRDefault="00DE09CC" w:rsidP="00DE09CC">
      <w:pPr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042D652" w14:textId="716BDDC3" w:rsidR="00DE09CC" w:rsidRPr="00DE09CC" w:rsidRDefault="00DE09CC" w:rsidP="00DE09CC">
      <w:pPr>
        <w:rPr>
          <w:rFonts w:ascii="Times New Roman" w:hAnsi="Times New Roman"/>
          <w:b/>
          <w:sz w:val="28"/>
          <w:szCs w:val="28"/>
          <w:lang w:val="uk-UA"/>
        </w:rPr>
      </w:pPr>
      <w:r w:rsidRPr="00DE09C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7E7A0003" w14:textId="77777777" w:rsidR="00D71123" w:rsidRPr="008A6010" w:rsidRDefault="00D71123" w:rsidP="00B2669F">
      <w:pPr>
        <w:pStyle w:val="a5"/>
        <w:ind w:firstLine="0"/>
        <w:rPr>
          <w:b/>
          <w:sz w:val="28"/>
          <w:szCs w:val="28"/>
        </w:rPr>
      </w:pPr>
    </w:p>
    <w:sectPr w:rsidR="00D71123" w:rsidRPr="008A6010" w:rsidSect="00D90CAE">
      <w:headerReference w:type="default" r:id="rId10"/>
      <w:headerReference w:type="firs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39EAA" w14:textId="77777777" w:rsidR="00870B87" w:rsidRDefault="00870B87" w:rsidP="002E07D5">
      <w:pPr>
        <w:spacing w:after="0" w:line="240" w:lineRule="auto"/>
      </w:pPr>
      <w:r>
        <w:separator/>
      </w:r>
    </w:p>
  </w:endnote>
  <w:endnote w:type="continuationSeparator" w:id="0">
    <w:p w14:paraId="4E681BB5" w14:textId="77777777" w:rsidR="00870B87" w:rsidRDefault="00870B87" w:rsidP="002E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DDB87" w14:textId="77777777" w:rsidR="00870B87" w:rsidRDefault="00870B87" w:rsidP="002E07D5">
      <w:pPr>
        <w:spacing w:after="0" w:line="240" w:lineRule="auto"/>
      </w:pPr>
      <w:r>
        <w:separator/>
      </w:r>
    </w:p>
  </w:footnote>
  <w:footnote w:type="continuationSeparator" w:id="0">
    <w:p w14:paraId="1FAE6862" w14:textId="77777777" w:rsidR="00870B87" w:rsidRDefault="00870B87" w:rsidP="002E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062100"/>
      <w:docPartObj>
        <w:docPartGallery w:val="Page Numbers (Top of Page)"/>
        <w:docPartUnique/>
      </w:docPartObj>
    </w:sdtPr>
    <w:sdtContent>
      <w:p w14:paraId="6565DBCD" w14:textId="2A4B9D2E" w:rsidR="0090212C" w:rsidRDefault="009021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47F2080A" w14:textId="77777777" w:rsidR="0090212C" w:rsidRDefault="0090212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47966" w14:textId="215C02B7" w:rsidR="0090212C" w:rsidRPr="007600AC" w:rsidRDefault="0090212C">
    <w:pPr>
      <w:pStyle w:val="a8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</w:t>
    </w:r>
    <w:r w:rsidRPr="007600AC">
      <w:rPr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C00"/>
    <w:multiLevelType w:val="hybridMultilevel"/>
    <w:tmpl w:val="AC34DF88"/>
    <w:lvl w:ilvl="0" w:tplc="ABCA04B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C5695"/>
    <w:multiLevelType w:val="hybridMultilevel"/>
    <w:tmpl w:val="C8FAA7CE"/>
    <w:lvl w:ilvl="0" w:tplc="80B4F3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84EB4"/>
    <w:multiLevelType w:val="hybridMultilevel"/>
    <w:tmpl w:val="721E6C30"/>
    <w:lvl w:ilvl="0" w:tplc="6AFA9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62BB1"/>
    <w:multiLevelType w:val="hybridMultilevel"/>
    <w:tmpl w:val="F48E7234"/>
    <w:lvl w:ilvl="0" w:tplc="CBE48E70">
      <w:start w:val="6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35FC4D32"/>
    <w:multiLevelType w:val="hybridMultilevel"/>
    <w:tmpl w:val="D3085FE0"/>
    <w:lvl w:ilvl="0" w:tplc="7D3019D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D192EE8"/>
    <w:multiLevelType w:val="hybridMultilevel"/>
    <w:tmpl w:val="C40A2910"/>
    <w:lvl w:ilvl="0" w:tplc="926E1ADC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57C608C"/>
    <w:multiLevelType w:val="hybridMultilevel"/>
    <w:tmpl w:val="9176F78C"/>
    <w:lvl w:ilvl="0" w:tplc="4F5A9F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6D472C1"/>
    <w:multiLevelType w:val="hybridMultilevel"/>
    <w:tmpl w:val="70D660AA"/>
    <w:lvl w:ilvl="0" w:tplc="2DF456D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4FA35F8"/>
    <w:multiLevelType w:val="hybridMultilevel"/>
    <w:tmpl w:val="6B0AE3A6"/>
    <w:lvl w:ilvl="0" w:tplc="7A962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6AF3F5A"/>
    <w:multiLevelType w:val="hybridMultilevel"/>
    <w:tmpl w:val="2C041084"/>
    <w:lvl w:ilvl="0" w:tplc="31E0C92C">
      <w:start w:val="6"/>
      <w:numFmt w:val="bullet"/>
      <w:lvlText w:val="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>
    <w:nsid w:val="68A67B56"/>
    <w:multiLevelType w:val="hybridMultilevel"/>
    <w:tmpl w:val="A56239D4"/>
    <w:lvl w:ilvl="0" w:tplc="F17EEF30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87FE4"/>
    <w:multiLevelType w:val="hybridMultilevel"/>
    <w:tmpl w:val="CB9A6188"/>
    <w:lvl w:ilvl="0" w:tplc="737E4DE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C1918D7"/>
    <w:multiLevelType w:val="hybridMultilevel"/>
    <w:tmpl w:val="CD802E5A"/>
    <w:lvl w:ilvl="0" w:tplc="B44670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10"/>
    <w:rsid w:val="000034BD"/>
    <w:rsid w:val="00015EA4"/>
    <w:rsid w:val="00017A8D"/>
    <w:rsid w:val="00023EE5"/>
    <w:rsid w:val="00024F55"/>
    <w:rsid w:val="00032340"/>
    <w:rsid w:val="00053390"/>
    <w:rsid w:val="00060BAE"/>
    <w:rsid w:val="000942D5"/>
    <w:rsid w:val="000A6131"/>
    <w:rsid w:val="000B0C3C"/>
    <w:rsid w:val="000B5953"/>
    <w:rsid w:val="000C165A"/>
    <w:rsid w:val="000E1155"/>
    <w:rsid w:val="000F22A6"/>
    <w:rsid w:val="00107896"/>
    <w:rsid w:val="00107FDE"/>
    <w:rsid w:val="00114A78"/>
    <w:rsid w:val="001544EF"/>
    <w:rsid w:val="00160B7A"/>
    <w:rsid w:val="0016570C"/>
    <w:rsid w:val="0017107B"/>
    <w:rsid w:val="001725EE"/>
    <w:rsid w:val="00177422"/>
    <w:rsid w:val="001A3521"/>
    <w:rsid w:val="001D6536"/>
    <w:rsid w:val="001E0D36"/>
    <w:rsid w:val="00203D4A"/>
    <w:rsid w:val="00207AF7"/>
    <w:rsid w:val="00213C93"/>
    <w:rsid w:val="002200AC"/>
    <w:rsid w:val="00223BBB"/>
    <w:rsid w:val="002263F2"/>
    <w:rsid w:val="00231DF5"/>
    <w:rsid w:val="00242B18"/>
    <w:rsid w:val="00242E4C"/>
    <w:rsid w:val="00243C1D"/>
    <w:rsid w:val="002513BD"/>
    <w:rsid w:val="00253DB0"/>
    <w:rsid w:val="00261D60"/>
    <w:rsid w:val="0026251E"/>
    <w:rsid w:val="00280E3F"/>
    <w:rsid w:val="002A591C"/>
    <w:rsid w:val="002B3C97"/>
    <w:rsid w:val="002B43F8"/>
    <w:rsid w:val="002B623B"/>
    <w:rsid w:val="002C1DF3"/>
    <w:rsid w:val="002D1BA9"/>
    <w:rsid w:val="002D44F0"/>
    <w:rsid w:val="002E07D5"/>
    <w:rsid w:val="002E20E1"/>
    <w:rsid w:val="002E41FF"/>
    <w:rsid w:val="002E54E0"/>
    <w:rsid w:val="00302414"/>
    <w:rsid w:val="00320B68"/>
    <w:rsid w:val="00320BA2"/>
    <w:rsid w:val="0032267D"/>
    <w:rsid w:val="003232B3"/>
    <w:rsid w:val="003239F2"/>
    <w:rsid w:val="0033096A"/>
    <w:rsid w:val="003451DC"/>
    <w:rsid w:val="00345584"/>
    <w:rsid w:val="003529C3"/>
    <w:rsid w:val="003576D3"/>
    <w:rsid w:val="00377345"/>
    <w:rsid w:val="003A0A47"/>
    <w:rsid w:val="003A2B4E"/>
    <w:rsid w:val="003B30F3"/>
    <w:rsid w:val="003B67EF"/>
    <w:rsid w:val="003C55AA"/>
    <w:rsid w:val="00413AFB"/>
    <w:rsid w:val="00426BFA"/>
    <w:rsid w:val="004331C8"/>
    <w:rsid w:val="00462F91"/>
    <w:rsid w:val="00467B93"/>
    <w:rsid w:val="004901CE"/>
    <w:rsid w:val="004A3119"/>
    <w:rsid w:val="004A667B"/>
    <w:rsid w:val="004B2B0C"/>
    <w:rsid w:val="004B4382"/>
    <w:rsid w:val="004C5BD5"/>
    <w:rsid w:val="004C6586"/>
    <w:rsid w:val="004D4F30"/>
    <w:rsid w:val="004E0D51"/>
    <w:rsid w:val="004E27B9"/>
    <w:rsid w:val="005203EC"/>
    <w:rsid w:val="005240CB"/>
    <w:rsid w:val="00577A31"/>
    <w:rsid w:val="0059112A"/>
    <w:rsid w:val="00597956"/>
    <w:rsid w:val="005A5441"/>
    <w:rsid w:val="005C1716"/>
    <w:rsid w:val="005C3371"/>
    <w:rsid w:val="005C46FF"/>
    <w:rsid w:val="0060745F"/>
    <w:rsid w:val="00620078"/>
    <w:rsid w:val="006268E2"/>
    <w:rsid w:val="006517EB"/>
    <w:rsid w:val="006567EF"/>
    <w:rsid w:val="006578CA"/>
    <w:rsid w:val="00666784"/>
    <w:rsid w:val="006676A2"/>
    <w:rsid w:val="00676228"/>
    <w:rsid w:val="006C5F8E"/>
    <w:rsid w:val="006D3784"/>
    <w:rsid w:val="006E1A62"/>
    <w:rsid w:val="0071769F"/>
    <w:rsid w:val="0071794C"/>
    <w:rsid w:val="0075642E"/>
    <w:rsid w:val="00760047"/>
    <w:rsid w:val="007600AC"/>
    <w:rsid w:val="00761D15"/>
    <w:rsid w:val="0079732F"/>
    <w:rsid w:val="007A4FDA"/>
    <w:rsid w:val="007C5056"/>
    <w:rsid w:val="007D3ABD"/>
    <w:rsid w:val="007E2789"/>
    <w:rsid w:val="007F7B26"/>
    <w:rsid w:val="00806395"/>
    <w:rsid w:val="00830407"/>
    <w:rsid w:val="00840CC3"/>
    <w:rsid w:val="0084276F"/>
    <w:rsid w:val="00865966"/>
    <w:rsid w:val="00870B87"/>
    <w:rsid w:val="008723FD"/>
    <w:rsid w:val="008753C3"/>
    <w:rsid w:val="008804E1"/>
    <w:rsid w:val="00881AEE"/>
    <w:rsid w:val="0089700B"/>
    <w:rsid w:val="008A1140"/>
    <w:rsid w:val="008A6010"/>
    <w:rsid w:val="008A6823"/>
    <w:rsid w:val="008B3A43"/>
    <w:rsid w:val="008B478C"/>
    <w:rsid w:val="008C2E4F"/>
    <w:rsid w:val="008E5D95"/>
    <w:rsid w:val="0090212C"/>
    <w:rsid w:val="00907104"/>
    <w:rsid w:val="00911DEB"/>
    <w:rsid w:val="00945457"/>
    <w:rsid w:val="00947AE3"/>
    <w:rsid w:val="00967D5C"/>
    <w:rsid w:val="009735B2"/>
    <w:rsid w:val="009A430C"/>
    <w:rsid w:val="009A7A5E"/>
    <w:rsid w:val="009B1D8F"/>
    <w:rsid w:val="009C3078"/>
    <w:rsid w:val="009D20CA"/>
    <w:rsid w:val="00A24C43"/>
    <w:rsid w:val="00A6434E"/>
    <w:rsid w:val="00A73596"/>
    <w:rsid w:val="00A75DFA"/>
    <w:rsid w:val="00A77131"/>
    <w:rsid w:val="00A86EC4"/>
    <w:rsid w:val="00AA445D"/>
    <w:rsid w:val="00AB7521"/>
    <w:rsid w:val="00AD7F07"/>
    <w:rsid w:val="00B0074B"/>
    <w:rsid w:val="00B0083C"/>
    <w:rsid w:val="00B00C14"/>
    <w:rsid w:val="00B2669F"/>
    <w:rsid w:val="00B304FA"/>
    <w:rsid w:val="00B31CD1"/>
    <w:rsid w:val="00B34AE3"/>
    <w:rsid w:val="00B5111D"/>
    <w:rsid w:val="00B54942"/>
    <w:rsid w:val="00B55482"/>
    <w:rsid w:val="00B72538"/>
    <w:rsid w:val="00B74663"/>
    <w:rsid w:val="00B777B8"/>
    <w:rsid w:val="00B81D86"/>
    <w:rsid w:val="00B955AF"/>
    <w:rsid w:val="00B956A7"/>
    <w:rsid w:val="00BB2446"/>
    <w:rsid w:val="00BC37B0"/>
    <w:rsid w:val="00BC4A5A"/>
    <w:rsid w:val="00BC7E29"/>
    <w:rsid w:val="00BE549F"/>
    <w:rsid w:val="00C048A2"/>
    <w:rsid w:val="00C27E58"/>
    <w:rsid w:val="00C40634"/>
    <w:rsid w:val="00C61072"/>
    <w:rsid w:val="00C66FCB"/>
    <w:rsid w:val="00C70B2D"/>
    <w:rsid w:val="00C74692"/>
    <w:rsid w:val="00C8284C"/>
    <w:rsid w:val="00C87ECF"/>
    <w:rsid w:val="00C90C7D"/>
    <w:rsid w:val="00C938B4"/>
    <w:rsid w:val="00CA302B"/>
    <w:rsid w:val="00CB1807"/>
    <w:rsid w:val="00CD58FC"/>
    <w:rsid w:val="00D01245"/>
    <w:rsid w:val="00D034A0"/>
    <w:rsid w:val="00D06E66"/>
    <w:rsid w:val="00D12869"/>
    <w:rsid w:val="00D168E1"/>
    <w:rsid w:val="00D31621"/>
    <w:rsid w:val="00D41C37"/>
    <w:rsid w:val="00D4603A"/>
    <w:rsid w:val="00D71123"/>
    <w:rsid w:val="00D86CA5"/>
    <w:rsid w:val="00D90CAE"/>
    <w:rsid w:val="00D97AA4"/>
    <w:rsid w:val="00DA39F8"/>
    <w:rsid w:val="00DC2C02"/>
    <w:rsid w:val="00DE09CC"/>
    <w:rsid w:val="00E27FFD"/>
    <w:rsid w:val="00E4107C"/>
    <w:rsid w:val="00E414CA"/>
    <w:rsid w:val="00E42897"/>
    <w:rsid w:val="00E71AE5"/>
    <w:rsid w:val="00E87ACB"/>
    <w:rsid w:val="00EB17B9"/>
    <w:rsid w:val="00EB32BE"/>
    <w:rsid w:val="00EE437E"/>
    <w:rsid w:val="00F072B9"/>
    <w:rsid w:val="00F12A0C"/>
    <w:rsid w:val="00F12F62"/>
    <w:rsid w:val="00F30FBC"/>
    <w:rsid w:val="00F32F64"/>
    <w:rsid w:val="00F3783F"/>
    <w:rsid w:val="00F5014E"/>
    <w:rsid w:val="00F67866"/>
    <w:rsid w:val="00F71396"/>
    <w:rsid w:val="00F8083A"/>
    <w:rsid w:val="00F80AB3"/>
    <w:rsid w:val="00FA556B"/>
    <w:rsid w:val="00FD5661"/>
    <w:rsid w:val="00FD73AE"/>
    <w:rsid w:val="00FF0750"/>
    <w:rsid w:val="00FF50E2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3F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1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A601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8A601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F8083A"/>
    <w:pPr>
      <w:spacing w:after="0" w:line="240" w:lineRule="auto"/>
      <w:ind w:firstLine="720"/>
      <w:jc w:val="both"/>
    </w:pPr>
    <w:rPr>
      <w:rFonts w:ascii="Times New Roman" w:eastAsia="Calibri" w:hAnsi="Times New Roman"/>
      <w:sz w:val="20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locked/>
    <w:rsid w:val="00F8083A"/>
    <w:rPr>
      <w:rFonts w:ascii="Times New Roman" w:hAnsi="Times New Roman" w:cs="Times New Roman"/>
      <w:sz w:val="20"/>
      <w:szCs w:val="20"/>
      <w:lang w:val="uk-UA" w:eastAsia="uk-UA"/>
    </w:rPr>
  </w:style>
  <w:style w:type="table" w:styleId="a7">
    <w:name w:val="Table Grid"/>
    <w:basedOn w:val="a1"/>
    <w:uiPriority w:val="39"/>
    <w:locked/>
    <w:rsid w:val="00881AE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E07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07D5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2E07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07D5"/>
    <w:rPr>
      <w:rFonts w:eastAsia="Times New Roman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E09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ad">
    <w:name w:val="Стиль Знак Знак Знак Знак Знак Знак Знак Знак Знак Знак Знак Знак Знак Знак Знак Знак"/>
    <w:basedOn w:val="a"/>
    <w:rsid w:val="00DE09CC"/>
    <w:pPr>
      <w:spacing w:after="0" w:line="240" w:lineRule="auto"/>
    </w:pPr>
    <w:rPr>
      <w:rFonts w:ascii="Verdana" w:hAnsi="Verdana" w:cs="Verdana"/>
      <w:color w:val="000000"/>
      <w:sz w:val="20"/>
      <w:szCs w:val="20"/>
      <w:lang w:val="en-US"/>
    </w:rPr>
  </w:style>
  <w:style w:type="paragraph" w:customStyle="1" w:styleId="Default">
    <w:name w:val="Default"/>
    <w:rsid w:val="00DE09C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1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A601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8A601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F8083A"/>
    <w:pPr>
      <w:spacing w:after="0" w:line="240" w:lineRule="auto"/>
      <w:ind w:firstLine="720"/>
      <w:jc w:val="both"/>
    </w:pPr>
    <w:rPr>
      <w:rFonts w:ascii="Times New Roman" w:eastAsia="Calibri" w:hAnsi="Times New Roman"/>
      <w:sz w:val="20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locked/>
    <w:rsid w:val="00F8083A"/>
    <w:rPr>
      <w:rFonts w:ascii="Times New Roman" w:hAnsi="Times New Roman" w:cs="Times New Roman"/>
      <w:sz w:val="20"/>
      <w:szCs w:val="20"/>
      <w:lang w:val="uk-UA" w:eastAsia="uk-UA"/>
    </w:rPr>
  </w:style>
  <w:style w:type="table" w:styleId="a7">
    <w:name w:val="Table Grid"/>
    <w:basedOn w:val="a1"/>
    <w:uiPriority w:val="39"/>
    <w:locked/>
    <w:rsid w:val="00881AE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E07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07D5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2E07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07D5"/>
    <w:rPr>
      <w:rFonts w:eastAsia="Times New Roman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E09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ad">
    <w:name w:val="Стиль Знак Знак Знак Знак Знак Знак Знак Знак Знак Знак Знак Знак Знак Знак Знак Знак"/>
    <w:basedOn w:val="a"/>
    <w:rsid w:val="00DE09CC"/>
    <w:pPr>
      <w:spacing w:after="0" w:line="240" w:lineRule="auto"/>
    </w:pPr>
    <w:rPr>
      <w:rFonts w:ascii="Verdana" w:hAnsi="Verdana" w:cs="Verdana"/>
      <w:color w:val="000000"/>
      <w:sz w:val="20"/>
      <w:szCs w:val="20"/>
      <w:lang w:val="en-US"/>
    </w:rPr>
  </w:style>
  <w:style w:type="paragraph" w:customStyle="1" w:styleId="Default">
    <w:name w:val="Default"/>
    <w:rsid w:val="00DE09C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06F73-D0BB-4B77-BBDC-6F10AFB6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26</Pages>
  <Words>30990</Words>
  <Characters>17665</Characters>
  <Application>Microsoft Office Word</Application>
  <DocSecurity>0</DocSecurity>
  <Lines>147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user05</cp:lastModifiedBy>
  <cp:revision>144</cp:revision>
  <cp:lastPrinted>2025-09-15T12:29:00Z</cp:lastPrinted>
  <dcterms:created xsi:type="dcterms:W3CDTF">2022-02-10T14:04:00Z</dcterms:created>
  <dcterms:modified xsi:type="dcterms:W3CDTF">2025-09-16T08:07:00Z</dcterms:modified>
</cp:coreProperties>
</file>