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19C9" w:rsidRPr="00976179" w:rsidRDefault="000B1F80" w:rsidP="00E476A9">
      <w:pPr>
        <w:spacing w:after="0" w:line="240" w:lineRule="auto"/>
        <w:jc w:val="center"/>
        <w:rPr>
          <w:rFonts w:ascii="Times New Roman" w:hAnsi="Times New Roman"/>
          <w:b/>
          <w:sz w:val="24"/>
          <w:szCs w:val="24"/>
        </w:rPr>
      </w:pPr>
      <w:r w:rsidRPr="00976179">
        <w:rPr>
          <w:rFonts w:ascii="Times New Roman" w:hAnsi="Times New Roman"/>
          <w:b/>
          <w:sz w:val="24"/>
          <w:szCs w:val="24"/>
        </w:rPr>
        <w:t>Обґрунтування технічних та якісних характеристик предмета закупівлі, розміру бюджетного призначення, очікуваної вартості предмета закупівлі</w:t>
      </w:r>
    </w:p>
    <w:p w:rsidR="00595B53" w:rsidRPr="00976179" w:rsidRDefault="00595B53" w:rsidP="00E476A9">
      <w:pPr>
        <w:spacing w:after="120" w:line="240" w:lineRule="auto"/>
        <w:contextualSpacing/>
        <w:jc w:val="center"/>
        <w:rPr>
          <w:rFonts w:ascii="Times New Roman" w:hAnsi="Times New Roman" w:cs="Times New Roman"/>
          <w:sz w:val="24"/>
          <w:szCs w:val="24"/>
        </w:rPr>
      </w:pPr>
      <w:r w:rsidRPr="00976179">
        <w:rPr>
          <w:rFonts w:ascii="Times New Roman" w:hAnsi="Times New Roman" w:cs="Times New Roman"/>
          <w:sz w:val="24"/>
          <w:szCs w:val="24"/>
        </w:rPr>
        <w:t>(відповідно до пункту 4</w:t>
      </w:r>
      <w:r w:rsidRPr="00976179">
        <w:rPr>
          <w:rFonts w:ascii="Times New Roman" w:hAnsi="Times New Roman" w:cs="Times New Roman"/>
          <w:sz w:val="24"/>
          <w:szCs w:val="24"/>
          <w:vertAlign w:val="superscript"/>
        </w:rPr>
        <w:t xml:space="preserve">1 </w:t>
      </w:r>
      <w:r w:rsidRPr="00976179">
        <w:rPr>
          <w:rFonts w:ascii="Times New Roman" w:hAnsi="Times New Roman" w:cs="Times New Roman"/>
          <w:sz w:val="24"/>
          <w:szCs w:val="24"/>
        </w:rPr>
        <w:t>постанови КМУ від 11.10.2016 № 710 «Про ефективне використання державних коштів» (зі змінами))</w:t>
      </w:r>
    </w:p>
    <w:p w:rsidR="00E476A9" w:rsidRPr="00E476A9" w:rsidRDefault="000B1F80" w:rsidP="00E476A9">
      <w:pPr>
        <w:pStyle w:val="a3"/>
        <w:numPr>
          <w:ilvl w:val="0"/>
          <w:numId w:val="1"/>
        </w:numPr>
        <w:tabs>
          <w:tab w:val="left" w:pos="851"/>
        </w:tabs>
        <w:spacing w:after="120" w:line="240" w:lineRule="auto"/>
        <w:ind w:left="0" w:firstLine="0"/>
        <w:contextualSpacing w:val="0"/>
        <w:jc w:val="both"/>
        <w:rPr>
          <w:rFonts w:ascii="Times New Roman" w:eastAsia="Times New Roman" w:hAnsi="Times New Roman"/>
          <w:sz w:val="24"/>
          <w:szCs w:val="24"/>
          <w:lang w:eastAsia="ru-RU"/>
        </w:rPr>
      </w:pPr>
      <w:r w:rsidRPr="00976179">
        <w:rPr>
          <w:rFonts w:ascii="Times New Roman" w:eastAsia="Times New Roman" w:hAnsi="Times New Roman"/>
          <w:b/>
          <w:sz w:val="24"/>
          <w:szCs w:val="24"/>
          <w:lang w:eastAsia="ru-RU"/>
        </w:rPr>
        <w:t>Найменування, місцезнаходження та ідентифікаційний код замовника в Єдиному державному реєстрі юридичних осіб, фізичних осіб - підприємців та громадських формувань, його категорія:</w:t>
      </w:r>
    </w:p>
    <w:p w:rsidR="000B1F80" w:rsidRPr="00E476A9" w:rsidRDefault="000B1F80" w:rsidP="00E476A9">
      <w:pPr>
        <w:tabs>
          <w:tab w:val="left" w:pos="851"/>
        </w:tabs>
        <w:spacing w:after="120" w:line="240" w:lineRule="auto"/>
        <w:jc w:val="both"/>
        <w:rPr>
          <w:rFonts w:ascii="Times New Roman" w:eastAsia="Times New Roman" w:hAnsi="Times New Roman"/>
          <w:sz w:val="24"/>
          <w:szCs w:val="24"/>
          <w:lang w:eastAsia="ru-RU"/>
        </w:rPr>
      </w:pPr>
      <w:r w:rsidRPr="00E476A9">
        <w:rPr>
          <w:rFonts w:ascii="Times New Roman" w:eastAsia="Times New Roman" w:hAnsi="Times New Roman"/>
          <w:b/>
          <w:sz w:val="24"/>
          <w:szCs w:val="24"/>
          <w:lang w:eastAsia="ru-RU"/>
        </w:rPr>
        <w:t xml:space="preserve"> </w:t>
      </w:r>
      <w:r w:rsidR="00C93611" w:rsidRPr="00E476A9">
        <w:rPr>
          <w:rFonts w:ascii="Times New Roman" w:eastAsia="Times New Roman" w:hAnsi="Times New Roman"/>
          <w:sz w:val="24"/>
          <w:szCs w:val="24"/>
          <w:lang w:eastAsia="ru-RU"/>
        </w:rPr>
        <w:t>Виконавчий комітет Леськівської сільської ради</w:t>
      </w:r>
      <w:r w:rsidRPr="00E476A9">
        <w:rPr>
          <w:rFonts w:ascii="Times New Roman" w:eastAsia="Times New Roman" w:hAnsi="Times New Roman"/>
          <w:sz w:val="24"/>
          <w:szCs w:val="24"/>
          <w:lang w:eastAsia="ru-RU"/>
        </w:rPr>
        <w:t xml:space="preserve">; вул. </w:t>
      </w:r>
      <w:r w:rsidR="00C93611" w:rsidRPr="00E476A9">
        <w:rPr>
          <w:rFonts w:ascii="Times New Roman" w:eastAsia="Times New Roman" w:hAnsi="Times New Roman"/>
          <w:sz w:val="24"/>
          <w:szCs w:val="24"/>
          <w:lang w:eastAsia="ru-RU"/>
        </w:rPr>
        <w:t>Центральна</w:t>
      </w:r>
      <w:r w:rsidRPr="00E476A9">
        <w:rPr>
          <w:rFonts w:ascii="Times New Roman" w:eastAsia="Times New Roman" w:hAnsi="Times New Roman"/>
          <w:sz w:val="24"/>
          <w:szCs w:val="24"/>
          <w:lang w:eastAsia="ru-RU"/>
        </w:rPr>
        <w:t xml:space="preserve">, </w:t>
      </w:r>
      <w:r w:rsidR="00C93611" w:rsidRPr="00E476A9">
        <w:rPr>
          <w:rFonts w:ascii="Times New Roman" w:eastAsia="Times New Roman" w:hAnsi="Times New Roman"/>
          <w:sz w:val="24"/>
          <w:szCs w:val="24"/>
          <w:lang w:eastAsia="ru-RU"/>
        </w:rPr>
        <w:t>53</w:t>
      </w:r>
      <w:r w:rsidRPr="00E476A9">
        <w:rPr>
          <w:rFonts w:ascii="Times New Roman" w:eastAsia="Times New Roman" w:hAnsi="Times New Roman"/>
          <w:sz w:val="24"/>
          <w:szCs w:val="24"/>
          <w:lang w:eastAsia="ru-RU"/>
        </w:rPr>
        <w:t xml:space="preserve">, </w:t>
      </w:r>
      <w:r w:rsidR="00C93611" w:rsidRPr="00E476A9">
        <w:rPr>
          <w:rFonts w:ascii="Times New Roman" w:eastAsia="Times New Roman" w:hAnsi="Times New Roman"/>
          <w:sz w:val="24"/>
          <w:szCs w:val="24"/>
          <w:lang w:eastAsia="ru-RU"/>
        </w:rPr>
        <w:t>с. Леськи</w:t>
      </w:r>
      <w:r w:rsidRPr="00E476A9">
        <w:rPr>
          <w:rFonts w:ascii="Times New Roman" w:eastAsia="Times New Roman" w:hAnsi="Times New Roman"/>
          <w:sz w:val="24"/>
          <w:szCs w:val="24"/>
          <w:lang w:eastAsia="ru-RU"/>
        </w:rPr>
        <w:t xml:space="preserve">, </w:t>
      </w:r>
      <w:r w:rsidR="00C93611" w:rsidRPr="00E476A9">
        <w:rPr>
          <w:rFonts w:ascii="Times New Roman" w:eastAsia="Times New Roman" w:hAnsi="Times New Roman"/>
          <w:sz w:val="24"/>
          <w:szCs w:val="24"/>
          <w:lang w:eastAsia="ru-RU"/>
        </w:rPr>
        <w:t>19640</w:t>
      </w:r>
      <w:r w:rsidRPr="00E476A9">
        <w:rPr>
          <w:rFonts w:ascii="Times New Roman" w:eastAsia="Times New Roman" w:hAnsi="Times New Roman"/>
          <w:sz w:val="24"/>
          <w:szCs w:val="24"/>
          <w:lang w:eastAsia="ru-RU"/>
        </w:rPr>
        <w:t xml:space="preserve">; </w:t>
      </w:r>
      <w:r w:rsidR="00C84BA1" w:rsidRPr="00E476A9">
        <w:rPr>
          <w:rFonts w:ascii="Times New Roman" w:eastAsia="Times New Roman" w:hAnsi="Times New Roman"/>
          <w:sz w:val="24"/>
          <w:szCs w:val="24"/>
          <w:lang w:eastAsia="ru-RU"/>
        </w:rPr>
        <w:br/>
      </w:r>
      <w:r w:rsidRPr="00E476A9">
        <w:rPr>
          <w:rFonts w:ascii="Times New Roman" w:eastAsia="Times New Roman" w:hAnsi="Times New Roman"/>
          <w:sz w:val="24"/>
          <w:szCs w:val="24"/>
          <w:lang w:eastAsia="ru-RU"/>
        </w:rPr>
        <w:t xml:space="preserve">код за ЄДРПОУ – </w:t>
      </w:r>
      <w:r w:rsidR="00C93611" w:rsidRPr="00E476A9">
        <w:rPr>
          <w:rFonts w:ascii="Times New Roman" w:eastAsia="Times New Roman" w:hAnsi="Times New Roman"/>
          <w:sz w:val="24"/>
          <w:szCs w:val="24"/>
          <w:lang w:eastAsia="ru-RU"/>
        </w:rPr>
        <w:t>04408790</w:t>
      </w:r>
      <w:r w:rsidRPr="00E476A9">
        <w:rPr>
          <w:rFonts w:ascii="Times New Roman" w:eastAsia="Times New Roman" w:hAnsi="Times New Roman"/>
          <w:sz w:val="24"/>
          <w:szCs w:val="24"/>
          <w:lang w:eastAsia="ru-RU"/>
        </w:rPr>
        <w:t xml:space="preserve">; категорія замовника – </w:t>
      </w:r>
      <w:r w:rsidR="00C93611" w:rsidRPr="00E476A9">
        <w:rPr>
          <w:rFonts w:ascii="Times New Roman" w:eastAsia="Times New Roman" w:hAnsi="Times New Roman"/>
          <w:sz w:val="24"/>
          <w:szCs w:val="24"/>
          <w:lang w:eastAsia="ru-RU"/>
        </w:rPr>
        <w:t>юридична особа, яка забезпечує потреби держави або територіальної громади</w:t>
      </w:r>
      <w:r w:rsidRPr="00E476A9">
        <w:rPr>
          <w:rFonts w:ascii="Times New Roman" w:eastAsia="Times New Roman" w:hAnsi="Times New Roman"/>
          <w:sz w:val="24"/>
          <w:szCs w:val="24"/>
          <w:lang w:eastAsia="ru-RU"/>
        </w:rPr>
        <w:t>.</w:t>
      </w:r>
    </w:p>
    <w:p w:rsidR="009F610E" w:rsidRPr="00976179" w:rsidRDefault="000B1F80" w:rsidP="00E476A9">
      <w:pPr>
        <w:pStyle w:val="a3"/>
        <w:numPr>
          <w:ilvl w:val="0"/>
          <w:numId w:val="1"/>
        </w:numPr>
        <w:tabs>
          <w:tab w:val="left" w:pos="851"/>
        </w:tabs>
        <w:spacing w:after="120" w:line="240" w:lineRule="auto"/>
        <w:ind w:left="0" w:firstLine="0"/>
        <w:contextualSpacing w:val="0"/>
        <w:jc w:val="both"/>
        <w:rPr>
          <w:rFonts w:ascii="Times New Roman" w:eastAsia="Times New Roman" w:hAnsi="Times New Roman"/>
          <w:sz w:val="24"/>
          <w:szCs w:val="24"/>
          <w:lang w:eastAsia="ru-RU"/>
        </w:rPr>
      </w:pPr>
      <w:r w:rsidRPr="00976179">
        <w:rPr>
          <w:rFonts w:ascii="Times New Roman" w:eastAsia="Times New Roman" w:hAnsi="Times New Roman"/>
          <w:b/>
          <w:sz w:val="24"/>
          <w:szCs w:val="24"/>
          <w:lang w:eastAsia="ru-RU"/>
        </w:rPr>
        <w:t xml:space="preserve">Назва предмета закупівлі із зазначенням коду за Єдиним закупівельним словником (у разі поділу на лоти такі відомості повинні зазначатися стосовно кожного лота) та назви відповідних класифікаторів предмета закупівлі і частин предмета закупівлі (лотів) (за наявності): </w:t>
      </w:r>
      <w:r w:rsidR="009F610E" w:rsidRPr="00976179">
        <w:rPr>
          <w:rFonts w:ascii="Times New Roman" w:eastAsia="Times New Roman" w:hAnsi="Times New Roman"/>
          <w:sz w:val="24"/>
          <w:szCs w:val="24"/>
          <w:lang w:eastAsia="ru-RU"/>
        </w:rPr>
        <w:t>«</w:t>
      </w:r>
      <w:r w:rsidR="009D5FA6" w:rsidRPr="00976179">
        <w:rPr>
          <w:rFonts w:ascii="Times New Roman" w:eastAsia="Times New Roman" w:hAnsi="Times New Roman"/>
          <w:sz w:val="24"/>
          <w:szCs w:val="24"/>
          <w:lang w:eastAsia="ru-RU"/>
        </w:rPr>
        <w:t>09310000-5 ‒ Електрична енергія</w:t>
      </w:r>
      <w:r w:rsidR="009F610E" w:rsidRPr="00976179">
        <w:rPr>
          <w:rFonts w:ascii="Times New Roman" w:eastAsia="Times New Roman" w:hAnsi="Times New Roman"/>
          <w:sz w:val="24"/>
          <w:szCs w:val="24"/>
          <w:lang w:eastAsia="ru-RU"/>
        </w:rPr>
        <w:t>».</w:t>
      </w:r>
    </w:p>
    <w:p w:rsidR="006443A6" w:rsidRPr="006443A6" w:rsidRDefault="000B1F80" w:rsidP="00E476A9">
      <w:pPr>
        <w:pStyle w:val="a3"/>
        <w:numPr>
          <w:ilvl w:val="0"/>
          <w:numId w:val="1"/>
        </w:numPr>
        <w:tabs>
          <w:tab w:val="left" w:pos="851"/>
        </w:tabs>
        <w:spacing w:after="0" w:line="240" w:lineRule="auto"/>
        <w:ind w:left="0" w:firstLine="0"/>
        <w:contextualSpacing w:val="0"/>
        <w:jc w:val="both"/>
        <w:rPr>
          <w:rFonts w:ascii="Times New Roman" w:eastAsia="Times New Roman" w:hAnsi="Times New Roman"/>
          <w:sz w:val="24"/>
          <w:szCs w:val="24"/>
          <w:lang w:eastAsia="ru-RU"/>
        </w:rPr>
      </w:pPr>
      <w:r w:rsidRPr="006443A6">
        <w:rPr>
          <w:rFonts w:ascii="Times New Roman" w:eastAsia="Times New Roman" w:hAnsi="Times New Roman"/>
          <w:b/>
          <w:sz w:val="24"/>
          <w:szCs w:val="24"/>
          <w:lang w:eastAsia="ru-RU"/>
        </w:rPr>
        <w:t xml:space="preserve">Ідентифікатор закупівлі: </w:t>
      </w:r>
      <w:bookmarkStart w:id="0" w:name="_GoBack"/>
      <w:r w:rsidR="006443A6" w:rsidRPr="006443A6">
        <w:rPr>
          <w:rFonts w:ascii="Times New Roman" w:hAnsi="Times New Roman"/>
          <w:sz w:val="24"/>
          <w:szCs w:val="24"/>
          <w:shd w:val="clear" w:color="auto" w:fill="FFFFFF"/>
        </w:rPr>
        <w:t>UA-2021-11-24-007036-a</w:t>
      </w:r>
    </w:p>
    <w:bookmarkEnd w:id="0"/>
    <w:p w:rsidR="00B12373" w:rsidRPr="006443A6" w:rsidRDefault="00595B53" w:rsidP="00E476A9">
      <w:pPr>
        <w:pStyle w:val="a3"/>
        <w:numPr>
          <w:ilvl w:val="0"/>
          <w:numId w:val="1"/>
        </w:numPr>
        <w:tabs>
          <w:tab w:val="left" w:pos="851"/>
        </w:tabs>
        <w:spacing w:after="0" w:line="240" w:lineRule="auto"/>
        <w:ind w:left="0" w:firstLine="0"/>
        <w:contextualSpacing w:val="0"/>
        <w:jc w:val="both"/>
        <w:rPr>
          <w:rFonts w:ascii="Times New Roman" w:eastAsia="Times New Roman" w:hAnsi="Times New Roman"/>
          <w:sz w:val="24"/>
          <w:szCs w:val="24"/>
          <w:lang w:eastAsia="ru-RU"/>
        </w:rPr>
      </w:pPr>
      <w:r w:rsidRPr="006443A6">
        <w:rPr>
          <w:rFonts w:ascii="Times New Roman" w:eastAsia="Times New Roman" w:hAnsi="Times New Roman"/>
          <w:b/>
          <w:sz w:val="24"/>
          <w:szCs w:val="24"/>
          <w:lang w:eastAsia="ru-RU"/>
        </w:rPr>
        <w:t>Обґрунтування технічних та якісних характеристик предмета закупівлі:</w:t>
      </w:r>
      <w:r w:rsidRPr="006443A6">
        <w:rPr>
          <w:rFonts w:ascii="Times New Roman" w:hAnsi="Times New Roman"/>
          <w:sz w:val="24"/>
          <w:szCs w:val="24"/>
        </w:rPr>
        <w:t xml:space="preserve"> </w:t>
      </w:r>
      <w:r w:rsidR="009F610E" w:rsidRPr="006443A6">
        <w:rPr>
          <w:rFonts w:ascii="Times New Roman" w:eastAsia="Times New Roman" w:hAnsi="Times New Roman"/>
          <w:sz w:val="24"/>
          <w:szCs w:val="24"/>
          <w:lang w:eastAsia="ru-RU"/>
        </w:rPr>
        <w:t>технічні та якісні характеристики предмета закупівлі визначені відповідно до потреб замовника</w:t>
      </w:r>
      <w:r w:rsidR="00083B42" w:rsidRPr="006443A6">
        <w:rPr>
          <w:rFonts w:ascii="Times New Roman" w:eastAsia="Times New Roman" w:hAnsi="Times New Roman"/>
          <w:sz w:val="24"/>
          <w:szCs w:val="24"/>
          <w:lang w:eastAsia="ru-RU"/>
        </w:rPr>
        <w:t xml:space="preserve"> </w:t>
      </w:r>
      <w:r w:rsidR="0063482B" w:rsidRPr="006443A6">
        <w:rPr>
          <w:rFonts w:ascii="Times New Roman" w:eastAsia="Times New Roman" w:hAnsi="Times New Roman"/>
          <w:sz w:val="24"/>
          <w:szCs w:val="24"/>
          <w:lang w:eastAsia="ru-RU"/>
        </w:rPr>
        <w:t>та відповідають базовим тех</w:t>
      </w:r>
      <w:r w:rsidR="00F76DEB" w:rsidRPr="006443A6">
        <w:rPr>
          <w:rFonts w:ascii="Times New Roman" w:eastAsia="Times New Roman" w:hAnsi="Times New Roman"/>
          <w:sz w:val="24"/>
          <w:szCs w:val="24"/>
          <w:lang w:eastAsia="ru-RU"/>
        </w:rPr>
        <w:t>нічним вимогам до таких товарів</w:t>
      </w:r>
      <w:r w:rsidR="00083B42" w:rsidRPr="006443A6">
        <w:rPr>
          <w:rFonts w:ascii="Times New Roman" w:eastAsia="Times New Roman" w:hAnsi="Times New Roman"/>
          <w:sz w:val="24"/>
          <w:szCs w:val="24"/>
          <w:lang w:eastAsia="ru-RU"/>
        </w:rPr>
        <w:t>.</w:t>
      </w:r>
      <w:r w:rsidR="008920DD" w:rsidRPr="006443A6">
        <w:rPr>
          <w:rFonts w:ascii="Times New Roman" w:eastAsia="Times New Roman" w:hAnsi="Times New Roman"/>
          <w:sz w:val="24"/>
          <w:szCs w:val="24"/>
          <w:lang w:eastAsia="ru-RU"/>
        </w:rPr>
        <w:t xml:space="preserve"> </w:t>
      </w:r>
    </w:p>
    <w:p w:rsidR="00083B42" w:rsidRPr="00976179" w:rsidRDefault="00083B42" w:rsidP="00E476A9">
      <w:pPr>
        <w:pStyle w:val="a3"/>
        <w:tabs>
          <w:tab w:val="left" w:pos="851"/>
        </w:tabs>
        <w:spacing w:after="0" w:line="240" w:lineRule="auto"/>
        <w:ind w:left="425"/>
        <w:contextualSpacing w:val="0"/>
        <w:jc w:val="both"/>
        <w:rPr>
          <w:rFonts w:ascii="Times New Roman" w:eastAsia="Times New Roman" w:hAnsi="Times New Roman"/>
          <w:sz w:val="24"/>
          <w:szCs w:val="24"/>
          <w:lang w:eastAsia="ru-RU"/>
        </w:rPr>
      </w:pPr>
    </w:p>
    <w:p w:rsidR="00035765" w:rsidRPr="00F4751E" w:rsidRDefault="00C819C9" w:rsidP="00E476A9">
      <w:pPr>
        <w:pStyle w:val="a3"/>
        <w:numPr>
          <w:ilvl w:val="0"/>
          <w:numId w:val="1"/>
        </w:numPr>
        <w:tabs>
          <w:tab w:val="left" w:pos="0"/>
        </w:tabs>
        <w:spacing w:after="0" w:line="240" w:lineRule="auto"/>
        <w:ind w:left="0" w:firstLine="0"/>
        <w:contextualSpacing w:val="0"/>
        <w:jc w:val="both"/>
        <w:rPr>
          <w:rFonts w:ascii="Times New Roman" w:hAnsi="Times New Roman"/>
          <w:sz w:val="24"/>
          <w:szCs w:val="24"/>
          <w:lang w:eastAsia="en-US"/>
        </w:rPr>
      </w:pPr>
      <w:r w:rsidRPr="00C93611">
        <w:rPr>
          <w:rFonts w:ascii="Times New Roman" w:eastAsia="Times New Roman" w:hAnsi="Times New Roman"/>
          <w:b/>
          <w:sz w:val="24"/>
          <w:szCs w:val="24"/>
          <w:lang w:eastAsia="ru-RU"/>
        </w:rPr>
        <w:t xml:space="preserve">Обґрунтування </w:t>
      </w:r>
      <w:r w:rsidR="00B12373" w:rsidRPr="00C93611">
        <w:rPr>
          <w:rFonts w:ascii="Times New Roman" w:eastAsia="Times New Roman" w:hAnsi="Times New Roman"/>
          <w:b/>
          <w:sz w:val="24"/>
          <w:szCs w:val="24"/>
          <w:lang w:eastAsia="ru-RU"/>
        </w:rPr>
        <w:t>розміру бюджетного призначення</w:t>
      </w:r>
      <w:r w:rsidR="00E33FD8" w:rsidRPr="00C93611">
        <w:rPr>
          <w:rFonts w:ascii="Times New Roman" w:eastAsia="Times New Roman" w:hAnsi="Times New Roman"/>
          <w:b/>
          <w:sz w:val="24"/>
          <w:szCs w:val="24"/>
          <w:lang w:eastAsia="ru-RU"/>
        </w:rPr>
        <w:t>:</w:t>
      </w:r>
      <w:r w:rsidR="009F610E" w:rsidRPr="00C93611">
        <w:rPr>
          <w:rFonts w:ascii="Times New Roman" w:eastAsia="Times New Roman" w:hAnsi="Times New Roman"/>
          <w:b/>
          <w:sz w:val="24"/>
          <w:szCs w:val="24"/>
          <w:lang w:eastAsia="ru-RU"/>
        </w:rPr>
        <w:t xml:space="preserve"> </w:t>
      </w:r>
      <w:r w:rsidR="009F610E" w:rsidRPr="00C93611">
        <w:rPr>
          <w:rFonts w:ascii="Times New Roman" w:eastAsia="Times New Roman" w:hAnsi="Times New Roman"/>
          <w:sz w:val="24"/>
          <w:szCs w:val="24"/>
          <w:lang w:eastAsia="ru-RU"/>
        </w:rPr>
        <w:t>розмір бюджетного призначення</w:t>
      </w:r>
      <w:r w:rsidR="00772C36" w:rsidRPr="00C93611">
        <w:rPr>
          <w:rFonts w:ascii="Times New Roman" w:eastAsia="Times New Roman" w:hAnsi="Times New Roman"/>
          <w:sz w:val="24"/>
          <w:szCs w:val="24"/>
          <w:lang w:eastAsia="ru-RU"/>
        </w:rPr>
        <w:t>,</w:t>
      </w:r>
      <w:r w:rsidR="009F610E" w:rsidRPr="00C93611">
        <w:rPr>
          <w:rFonts w:ascii="Times New Roman" w:eastAsia="Times New Roman" w:hAnsi="Times New Roman"/>
          <w:sz w:val="24"/>
          <w:szCs w:val="24"/>
          <w:lang w:eastAsia="ru-RU"/>
        </w:rPr>
        <w:t xml:space="preserve"> визначений </w:t>
      </w:r>
      <w:r w:rsidR="0038019F" w:rsidRPr="00C93611">
        <w:rPr>
          <w:rFonts w:ascii="Times New Roman" w:eastAsia="Times New Roman" w:hAnsi="Times New Roman"/>
          <w:sz w:val="24"/>
          <w:szCs w:val="24"/>
          <w:lang w:eastAsia="ru-RU"/>
        </w:rPr>
        <w:t xml:space="preserve">відповідно до розрахунку до </w:t>
      </w:r>
      <w:r w:rsidR="009F610E" w:rsidRPr="00C93611">
        <w:rPr>
          <w:rFonts w:ascii="Times New Roman" w:eastAsia="Times New Roman" w:hAnsi="Times New Roman"/>
          <w:sz w:val="24"/>
          <w:szCs w:val="24"/>
          <w:lang w:eastAsia="ru-RU"/>
        </w:rPr>
        <w:t>кошторису на 202</w:t>
      </w:r>
      <w:r w:rsidR="006443A6">
        <w:rPr>
          <w:rFonts w:ascii="Times New Roman" w:eastAsia="Times New Roman" w:hAnsi="Times New Roman"/>
          <w:sz w:val="24"/>
          <w:szCs w:val="24"/>
          <w:lang w:eastAsia="ru-RU"/>
        </w:rPr>
        <w:t>2</w:t>
      </w:r>
      <w:r w:rsidR="009F610E" w:rsidRPr="00C93611">
        <w:rPr>
          <w:rFonts w:ascii="Times New Roman" w:eastAsia="Times New Roman" w:hAnsi="Times New Roman"/>
          <w:sz w:val="24"/>
          <w:szCs w:val="24"/>
          <w:lang w:eastAsia="ru-RU"/>
        </w:rPr>
        <w:t xml:space="preserve"> рік</w:t>
      </w:r>
      <w:r w:rsidR="00772C36" w:rsidRPr="00C93611">
        <w:rPr>
          <w:rFonts w:ascii="Times New Roman" w:eastAsia="Times New Roman" w:hAnsi="Times New Roman"/>
          <w:sz w:val="24"/>
          <w:szCs w:val="24"/>
          <w:lang w:eastAsia="ru-RU"/>
        </w:rPr>
        <w:t>,</w:t>
      </w:r>
      <w:r w:rsidR="000D4E09" w:rsidRPr="00C93611">
        <w:rPr>
          <w:rFonts w:ascii="Times New Roman" w:eastAsia="Times New Roman" w:hAnsi="Times New Roman"/>
          <w:sz w:val="24"/>
          <w:szCs w:val="24"/>
          <w:lang w:eastAsia="ru-RU"/>
        </w:rPr>
        <w:t xml:space="preserve"> становить </w:t>
      </w:r>
      <w:r w:rsidR="006443A6">
        <w:rPr>
          <w:rFonts w:ascii="Times New Roman" w:eastAsia="Times New Roman" w:hAnsi="Times New Roman"/>
          <w:color w:val="000000"/>
          <w:sz w:val="24"/>
          <w:szCs w:val="24"/>
          <w:lang w:eastAsia="ru-RU"/>
        </w:rPr>
        <w:t>2 523 600</w:t>
      </w:r>
      <w:r w:rsidR="00C93611" w:rsidRPr="00C93611">
        <w:rPr>
          <w:rFonts w:ascii="Times New Roman" w:eastAsia="Times New Roman" w:hAnsi="Times New Roman"/>
          <w:color w:val="000000"/>
          <w:sz w:val="24"/>
          <w:szCs w:val="24"/>
          <w:lang w:eastAsia="ru-RU"/>
        </w:rPr>
        <w:t xml:space="preserve"> грн</w:t>
      </w:r>
      <w:r w:rsidR="00F4751E">
        <w:rPr>
          <w:rFonts w:ascii="Times New Roman" w:eastAsia="Times New Roman" w:hAnsi="Times New Roman"/>
          <w:color w:val="000000"/>
          <w:sz w:val="24"/>
          <w:szCs w:val="24"/>
          <w:lang w:eastAsia="ru-RU"/>
        </w:rPr>
        <w:t>.</w:t>
      </w:r>
    </w:p>
    <w:p w:rsidR="00F4751E" w:rsidRPr="00F4751E" w:rsidRDefault="00F4751E" w:rsidP="00E476A9">
      <w:pPr>
        <w:tabs>
          <w:tab w:val="left" w:pos="0"/>
        </w:tabs>
        <w:spacing w:after="0" w:line="240" w:lineRule="auto"/>
        <w:ind w:left="426"/>
        <w:jc w:val="both"/>
        <w:rPr>
          <w:rFonts w:ascii="Times New Roman" w:hAnsi="Times New Roman"/>
          <w:sz w:val="24"/>
          <w:szCs w:val="24"/>
        </w:rPr>
      </w:pPr>
    </w:p>
    <w:p w:rsidR="00DD4E4A" w:rsidRPr="00976179" w:rsidRDefault="00DD4E4A" w:rsidP="00E476A9">
      <w:pPr>
        <w:pStyle w:val="a3"/>
        <w:numPr>
          <w:ilvl w:val="0"/>
          <w:numId w:val="1"/>
        </w:numPr>
        <w:tabs>
          <w:tab w:val="left" w:pos="851"/>
        </w:tabs>
        <w:spacing w:after="0" w:line="240" w:lineRule="auto"/>
        <w:ind w:left="0" w:firstLine="0"/>
        <w:contextualSpacing w:val="0"/>
        <w:jc w:val="both"/>
        <w:rPr>
          <w:rFonts w:ascii="Times New Roman" w:hAnsi="Times New Roman"/>
          <w:sz w:val="24"/>
          <w:szCs w:val="24"/>
        </w:rPr>
      </w:pPr>
      <w:r w:rsidRPr="00976179">
        <w:rPr>
          <w:rFonts w:ascii="Times New Roman" w:eastAsia="Times New Roman" w:hAnsi="Times New Roman"/>
          <w:b/>
          <w:sz w:val="24"/>
          <w:szCs w:val="24"/>
          <w:lang w:eastAsia="ru-RU"/>
        </w:rPr>
        <w:t xml:space="preserve">Очікувана вартість предмета закупівлі: </w:t>
      </w:r>
      <w:r w:rsidR="006443A6">
        <w:rPr>
          <w:rFonts w:ascii="Times New Roman" w:eastAsia="Times New Roman" w:hAnsi="Times New Roman"/>
          <w:color w:val="000000"/>
          <w:sz w:val="24"/>
          <w:szCs w:val="24"/>
          <w:lang w:eastAsia="ru-RU"/>
        </w:rPr>
        <w:t>2 523</w:t>
      </w:r>
      <w:r w:rsidR="006443A6">
        <w:rPr>
          <w:rFonts w:ascii="Times New Roman" w:eastAsia="Times New Roman" w:hAnsi="Times New Roman"/>
          <w:color w:val="000000"/>
          <w:sz w:val="24"/>
          <w:szCs w:val="24"/>
          <w:lang w:eastAsia="ru-RU"/>
        </w:rPr>
        <w:t> </w:t>
      </w:r>
      <w:r w:rsidR="006443A6">
        <w:rPr>
          <w:rFonts w:ascii="Times New Roman" w:eastAsia="Times New Roman" w:hAnsi="Times New Roman"/>
          <w:color w:val="000000"/>
          <w:sz w:val="24"/>
          <w:szCs w:val="24"/>
          <w:lang w:eastAsia="ru-RU"/>
        </w:rPr>
        <w:t>600</w:t>
      </w:r>
      <w:r w:rsidR="006443A6">
        <w:rPr>
          <w:rFonts w:ascii="Times New Roman" w:eastAsia="Times New Roman" w:hAnsi="Times New Roman"/>
          <w:color w:val="000000"/>
          <w:sz w:val="24"/>
          <w:szCs w:val="24"/>
          <w:lang w:eastAsia="ru-RU"/>
        </w:rPr>
        <w:t xml:space="preserve"> </w:t>
      </w:r>
      <w:r w:rsidRPr="00976179">
        <w:rPr>
          <w:rFonts w:ascii="Times New Roman" w:eastAsia="Times New Roman" w:hAnsi="Times New Roman"/>
          <w:sz w:val="24"/>
          <w:szCs w:val="24"/>
          <w:lang w:eastAsia="ru-RU"/>
        </w:rPr>
        <w:t>грн з ПДВ.</w:t>
      </w:r>
    </w:p>
    <w:p w:rsidR="00DD4E4A" w:rsidRPr="00976179" w:rsidRDefault="00DD4E4A" w:rsidP="00E476A9">
      <w:pPr>
        <w:spacing w:after="0" w:line="240" w:lineRule="auto"/>
        <w:jc w:val="both"/>
        <w:rPr>
          <w:rFonts w:ascii="Times New Roman" w:hAnsi="Times New Roman" w:cs="Times New Roman"/>
          <w:sz w:val="24"/>
          <w:szCs w:val="24"/>
        </w:rPr>
      </w:pPr>
    </w:p>
    <w:p w:rsidR="00E476A9" w:rsidRPr="00E476A9" w:rsidRDefault="00B6060F" w:rsidP="00E476A9">
      <w:pPr>
        <w:pStyle w:val="a3"/>
        <w:numPr>
          <w:ilvl w:val="0"/>
          <w:numId w:val="1"/>
        </w:numPr>
        <w:tabs>
          <w:tab w:val="left" w:pos="851"/>
        </w:tabs>
        <w:spacing w:after="0" w:line="240" w:lineRule="auto"/>
        <w:ind w:left="0" w:firstLine="0"/>
        <w:contextualSpacing w:val="0"/>
        <w:jc w:val="both"/>
        <w:rPr>
          <w:rFonts w:ascii="Times New Roman" w:eastAsia="Times New Roman" w:hAnsi="Times New Roman"/>
          <w:b/>
          <w:sz w:val="24"/>
          <w:szCs w:val="24"/>
          <w:lang w:eastAsia="ru-RU"/>
        </w:rPr>
      </w:pPr>
      <w:r w:rsidRPr="00976179">
        <w:rPr>
          <w:rFonts w:ascii="Times New Roman" w:eastAsia="Times New Roman" w:hAnsi="Times New Roman"/>
          <w:b/>
          <w:sz w:val="24"/>
          <w:szCs w:val="24"/>
          <w:lang w:eastAsia="ru-RU"/>
        </w:rPr>
        <w:t>Обґрунтування</w:t>
      </w:r>
      <w:r w:rsidR="00B12373" w:rsidRPr="00976179">
        <w:rPr>
          <w:rFonts w:ascii="Times New Roman" w:eastAsia="Times New Roman" w:hAnsi="Times New Roman"/>
          <w:b/>
          <w:sz w:val="24"/>
          <w:szCs w:val="24"/>
          <w:lang w:eastAsia="ru-RU"/>
        </w:rPr>
        <w:t xml:space="preserve"> очікуваної вартості предмета закупівлі</w:t>
      </w:r>
      <w:r w:rsidR="00C819C9" w:rsidRPr="00976179">
        <w:rPr>
          <w:rFonts w:ascii="Times New Roman" w:eastAsia="Times New Roman" w:hAnsi="Times New Roman"/>
          <w:b/>
          <w:sz w:val="24"/>
          <w:szCs w:val="24"/>
          <w:lang w:eastAsia="ru-RU"/>
        </w:rPr>
        <w:t>:</w:t>
      </w:r>
    </w:p>
    <w:p w:rsidR="00E476A9" w:rsidRDefault="00E476A9" w:rsidP="00E476A9">
      <w:pPr>
        <w:tabs>
          <w:tab w:val="left" w:pos="851"/>
        </w:tabs>
        <w:spacing w:after="0" w:line="240" w:lineRule="auto"/>
        <w:ind w:firstLine="709"/>
        <w:jc w:val="both"/>
        <w:rPr>
          <w:rFonts w:ascii="Times New Roman" w:eastAsia="Times New Roman" w:hAnsi="Times New Roman"/>
          <w:bCs/>
          <w:color w:val="000000"/>
          <w:sz w:val="24"/>
          <w:szCs w:val="24"/>
          <w:lang w:eastAsia="ru-RU"/>
        </w:rPr>
      </w:pPr>
      <w:r w:rsidRPr="00E476A9">
        <w:rPr>
          <w:rFonts w:ascii="Times New Roman" w:eastAsia="Times New Roman" w:hAnsi="Times New Roman"/>
          <w:bCs/>
          <w:color w:val="000000"/>
          <w:sz w:val="24"/>
          <w:szCs w:val="24"/>
          <w:lang w:eastAsia="ru-RU"/>
        </w:rPr>
        <w:t xml:space="preserve">Міністерством розвитку економіки, торгівлі та сільського господарства України затверджена примірна методика визначення очікуваної вартості предмета закупівлі від 18.02.2020 №275, якою передбачені методи визначення очікуваної вартості предмета закупівлі, а саме: </w:t>
      </w:r>
    </w:p>
    <w:p w:rsidR="00E476A9" w:rsidRDefault="00E476A9" w:rsidP="00E476A9">
      <w:pPr>
        <w:tabs>
          <w:tab w:val="left" w:pos="851"/>
        </w:tabs>
        <w:spacing w:after="0" w:line="240" w:lineRule="auto"/>
        <w:ind w:firstLine="709"/>
        <w:jc w:val="both"/>
        <w:rPr>
          <w:rFonts w:ascii="Times New Roman" w:eastAsia="Times New Roman" w:hAnsi="Times New Roman"/>
          <w:bCs/>
          <w:color w:val="000000"/>
          <w:sz w:val="24"/>
          <w:szCs w:val="24"/>
          <w:lang w:eastAsia="ru-RU"/>
        </w:rPr>
      </w:pPr>
      <w:r w:rsidRPr="00E476A9">
        <w:rPr>
          <w:rFonts w:ascii="Times New Roman" w:eastAsia="Times New Roman" w:hAnsi="Times New Roman"/>
          <w:bCs/>
          <w:color w:val="000000"/>
          <w:sz w:val="24"/>
          <w:szCs w:val="24"/>
          <w:lang w:eastAsia="ru-RU"/>
        </w:rPr>
        <w:t>1) здійснення пошуку, збору та аналіз загальнодоступної інформації про ціну товару (тобто інформація про ціни, що містяться в мережі інтернет у відкритому доступі, спеціалізованих торгівельних майданчиках, в електронних каталогах, в електронній системі закупівель «Прозоро», тощо;</w:t>
      </w:r>
    </w:p>
    <w:p w:rsidR="00E476A9" w:rsidRDefault="00E476A9" w:rsidP="00E476A9">
      <w:pPr>
        <w:tabs>
          <w:tab w:val="left" w:pos="851"/>
        </w:tabs>
        <w:spacing w:after="0" w:line="240" w:lineRule="auto"/>
        <w:ind w:firstLine="709"/>
        <w:jc w:val="both"/>
        <w:rPr>
          <w:rFonts w:ascii="Times New Roman" w:eastAsia="Times New Roman" w:hAnsi="Times New Roman"/>
          <w:bCs/>
          <w:color w:val="000000"/>
          <w:sz w:val="24"/>
          <w:szCs w:val="24"/>
          <w:lang w:eastAsia="ru-RU"/>
        </w:rPr>
      </w:pPr>
      <w:r w:rsidRPr="00E476A9">
        <w:rPr>
          <w:rFonts w:ascii="Times New Roman" w:eastAsia="Times New Roman" w:hAnsi="Times New Roman"/>
          <w:bCs/>
          <w:color w:val="000000"/>
          <w:sz w:val="24"/>
          <w:szCs w:val="24"/>
          <w:lang w:eastAsia="ru-RU"/>
        </w:rPr>
        <w:t xml:space="preserve"> 2) отримання комерційних (цінових ) пропозицій від виробників, офіційних представників (дилерів), постачальників; </w:t>
      </w:r>
    </w:p>
    <w:p w:rsidR="00E476A9" w:rsidRDefault="00E476A9" w:rsidP="00E476A9">
      <w:pPr>
        <w:tabs>
          <w:tab w:val="left" w:pos="851"/>
        </w:tabs>
        <w:spacing w:after="0" w:line="240" w:lineRule="auto"/>
        <w:ind w:firstLine="709"/>
        <w:jc w:val="both"/>
        <w:rPr>
          <w:rFonts w:ascii="Times New Roman" w:eastAsia="Times New Roman" w:hAnsi="Times New Roman"/>
          <w:bCs/>
          <w:color w:val="000000"/>
          <w:sz w:val="24"/>
          <w:szCs w:val="24"/>
          <w:lang w:eastAsia="ru-RU"/>
        </w:rPr>
      </w:pPr>
      <w:r w:rsidRPr="00E476A9">
        <w:rPr>
          <w:rFonts w:ascii="Times New Roman" w:eastAsia="Times New Roman" w:hAnsi="Times New Roman"/>
          <w:bCs/>
          <w:color w:val="000000"/>
          <w:sz w:val="24"/>
          <w:szCs w:val="24"/>
          <w:lang w:eastAsia="ru-RU"/>
        </w:rPr>
        <w:t xml:space="preserve">3) у разі обмеження конкуренції на ринку певних товарів та враховуючи їх специфіку при розрахунку використовуються ціни попередніх закупівель аналогічного товару та/або минулих періодів (з урахуванням індексу інфляції, зміни курсів іноземних валют). </w:t>
      </w:r>
    </w:p>
    <w:p w:rsidR="00E476A9" w:rsidRDefault="00E476A9" w:rsidP="00E476A9">
      <w:pPr>
        <w:tabs>
          <w:tab w:val="left" w:pos="851"/>
        </w:tabs>
        <w:spacing w:after="0" w:line="240" w:lineRule="auto"/>
        <w:ind w:firstLine="709"/>
        <w:jc w:val="both"/>
        <w:rPr>
          <w:rFonts w:ascii="Times New Roman" w:eastAsia="Times New Roman" w:hAnsi="Times New Roman"/>
          <w:bCs/>
          <w:color w:val="000000"/>
          <w:sz w:val="24"/>
          <w:szCs w:val="24"/>
          <w:lang w:eastAsia="ru-RU"/>
        </w:rPr>
      </w:pPr>
      <w:r w:rsidRPr="00E476A9">
        <w:rPr>
          <w:rFonts w:ascii="Times New Roman" w:eastAsia="Times New Roman" w:hAnsi="Times New Roman"/>
          <w:bCs/>
          <w:color w:val="000000"/>
          <w:sz w:val="24"/>
          <w:szCs w:val="24"/>
          <w:lang w:eastAsia="ru-RU"/>
        </w:rPr>
        <w:t xml:space="preserve">Відповідно до вказаної методики, при визначені очікуваної вартості предмету закупівлі товарів, робіт та послуг використовується один із методів формування очікуваної вартості предмету закупівлі та проведення моніторингу цін для подальшого укладення договорів. </w:t>
      </w:r>
    </w:p>
    <w:p w:rsidR="002E6FCD" w:rsidRPr="00976179" w:rsidRDefault="00E476A9" w:rsidP="00E476A9">
      <w:pPr>
        <w:tabs>
          <w:tab w:val="left" w:pos="851"/>
        </w:tabs>
        <w:spacing w:after="0" w:line="240" w:lineRule="auto"/>
        <w:ind w:firstLine="709"/>
        <w:jc w:val="both"/>
        <w:rPr>
          <w:sz w:val="25"/>
          <w:szCs w:val="25"/>
        </w:rPr>
      </w:pPr>
      <w:r w:rsidRPr="00E476A9">
        <w:rPr>
          <w:rFonts w:ascii="Times New Roman" w:eastAsia="Times New Roman" w:hAnsi="Times New Roman"/>
          <w:bCs/>
          <w:color w:val="000000"/>
          <w:sz w:val="24"/>
          <w:szCs w:val="24"/>
          <w:lang w:eastAsia="ru-RU"/>
        </w:rPr>
        <w:t>Визначення очікуваної вартості предмета закупівлі здійснювалося із застосуванням одного з методів вищевказаного порядку, а саме проведений моніторинг цін, шляхом здійснення пошуку, збору та аналізу загальнодоступ</w:t>
      </w:r>
      <w:r>
        <w:rPr>
          <w:rFonts w:ascii="Times New Roman" w:eastAsia="Times New Roman" w:hAnsi="Times New Roman"/>
          <w:bCs/>
          <w:color w:val="000000"/>
          <w:sz w:val="24"/>
          <w:szCs w:val="24"/>
          <w:lang w:eastAsia="ru-RU"/>
        </w:rPr>
        <w:t xml:space="preserve">ної інформації про ціну товару </w:t>
      </w:r>
      <w:r w:rsidRPr="00E476A9">
        <w:rPr>
          <w:rFonts w:ascii="Times New Roman" w:eastAsia="Times New Roman" w:hAnsi="Times New Roman"/>
          <w:bCs/>
          <w:color w:val="000000"/>
          <w:sz w:val="24"/>
          <w:szCs w:val="24"/>
          <w:lang w:eastAsia="ru-RU"/>
        </w:rPr>
        <w:t>тобто інформація про ціни, що містяться в мережі інтернет у відкритому доступі, спеціалізованих торгівельних майданчиках, в електронних каталогах, в електронній системі закупівель «Прозоро», тощо.</w:t>
      </w:r>
    </w:p>
    <w:sectPr w:rsidR="002E6FCD" w:rsidRPr="00976179" w:rsidSect="00E476A9">
      <w:pgSz w:w="11906" w:h="16838"/>
      <w:pgMar w:top="567" w:right="566" w:bottom="850"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FA68A2"/>
    <w:multiLevelType w:val="hybridMultilevel"/>
    <w:tmpl w:val="3BEC479A"/>
    <w:lvl w:ilvl="0" w:tplc="48183A3A">
      <w:start w:val="1"/>
      <w:numFmt w:val="decimal"/>
      <w:lvlText w:val="%1."/>
      <w:lvlJc w:val="left"/>
      <w:pPr>
        <w:ind w:left="6740" w:hanging="360"/>
      </w:pPr>
      <w:rPr>
        <w:b/>
        <w:color w:val="auto"/>
      </w:rPr>
    </w:lvl>
    <w:lvl w:ilvl="1" w:tplc="04220019">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
    <w:nsid w:val="75D1378B"/>
    <w:multiLevelType w:val="multilevel"/>
    <w:tmpl w:val="1B0A91E8"/>
    <w:lvl w:ilvl="0">
      <w:start w:val="1"/>
      <w:numFmt w:val="decimal"/>
      <w:lvlText w:val="%1."/>
      <w:lvlJc w:val="left"/>
      <w:pPr>
        <w:ind w:left="1287" w:hanging="360"/>
      </w:pPr>
      <w:rPr>
        <w:sz w:val="25"/>
        <w:szCs w:val="25"/>
      </w:rPr>
    </w:lvl>
    <w:lvl w:ilvl="1">
      <w:start w:val="1"/>
      <w:numFmt w:val="decimal"/>
      <w:isLgl/>
      <w:lvlText w:val="%1.%2."/>
      <w:lvlJc w:val="left"/>
      <w:pPr>
        <w:ind w:left="1647" w:hanging="7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
    <w:nsid w:val="78774735"/>
    <w:multiLevelType w:val="hybridMultilevel"/>
    <w:tmpl w:val="ADC00F6C"/>
    <w:lvl w:ilvl="0" w:tplc="F7CE4C10">
      <w:start w:val="1"/>
      <w:numFmt w:val="decimal"/>
      <w:lvlText w:val="%1)"/>
      <w:lvlJc w:val="left"/>
      <w:pPr>
        <w:ind w:left="720" w:hanging="360"/>
      </w:pPr>
      <w:rPr>
        <w:rFonts w:ascii="Times New Roman" w:hAnsi="Times New Roman" w:cs="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1F80"/>
    <w:rsid w:val="000210D2"/>
    <w:rsid w:val="00035765"/>
    <w:rsid w:val="00083B42"/>
    <w:rsid w:val="000B1F80"/>
    <w:rsid w:val="000C58C4"/>
    <w:rsid w:val="000D0281"/>
    <w:rsid w:val="000D292C"/>
    <w:rsid w:val="000D4E09"/>
    <w:rsid w:val="00115DB9"/>
    <w:rsid w:val="001308A4"/>
    <w:rsid w:val="0015274D"/>
    <w:rsid w:val="001F3234"/>
    <w:rsid w:val="001F3A51"/>
    <w:rsid w:val="00204038"/>
    <w:rsid w:val="00214C14"/>
    <w:rsid w:val="00246C8B"/>
    <w:rsid w:val="002618F1"/>
    <w:rsid w:val="002700FA"/>
    <w:rsid w:val="002A4B98"/>
    <w:rsid w:val="002E6FCD"/>
    <w:rsid w:val="002F7D8B"/>
    <w:rsid w:val="00305111"/>
    <w:rsid w:val="00347FC7"/>
    <w:rsid w:val="00370C4C"/>
    <w:rsid w:val="0038019F"/>
    <w:rsid w:val="003920C0"/>
    <w:rsid w:val="003A397B"/>
    <w:rsid w:val="003A5189"/>
    <w:rsid w:val="003E26FC"/>
    <w:rsid w:val="00412FB5"/>
    <w:rsid w:val="00413782"/>
    <w:rsid w:val="00455766"/>
    <w:rsid w:val="004D4894"/>
    <w:rsid w:val="004E5992"/>
    <w:rsid w:val="004F5B26"/>
    <w:rsid w:val="0055304B"/>
    <w:rsid w:val="005621FD"/>
    <w:rsid w:val="00575E3F"/>
    <w:rsid w:val="00595B53"/>
    <w:rsid w:val="006065A6"/>
    <w:rsid w:val="006124A8"/>
    <w:rsid w:val="0063482B"/>
    <w:rsid w:val="00640AE4"/>
    <w:rsid w:val="006443A6"/>
    <w:rsid w:val="00691B46"/>
    <w:rsid w:val="006A1BE5"/>
    <w:rsid w:val="006D6144"/>
    <w:rsid w:val="006E0B50"/>
    <w:rsid w:val="0070478B"/>
    <w:rsid w:val="0071711D"/>
    <w:rsid w:val="00772C36"/>
    <w:rsid w:val="007B14B4"/>
    <w:rsid w:val="008738C8"/>
    <w:rsid w:val="008920DD"/>
    <w:rsid w:val="008A6119"/>
    <w:rsid w:val="008B26F8"/>
    <w:rsid w:val="008D0B93"/>
    <w:rsid w:val="008E158F"/>
    <w:rsid w:val="00967420"/>
    <w:rsid w:val="00976179"/>
    <w:rsid w:val="009C2A02"/>
    <w:rsid w:val="009D5FA6"/>
    <w:rsid w:val="009E2BDF"/>
    <w:rsid w:val="009E6C58"/>
    <w:rsid w:val="009F610E"/>
    <w:rsid w:val="00A21AD8"/>
    <w:rsid w:val="00A30D09"/>
    <w:rsid w:val="00A83726"/>
    <w:rsid w:val="00AB7224"/>
    <w:rsid w:val="00AD6403"/>
    <w:rsid w:val="00B12373"/>
    <w:rsid w:val="00B44B35"/>
    <w:rsid w:val="00B6060F"/>
    <w:rsid w:val="00B8246B"/>
    <w:rsid w:val="00C04811"/>
    <w:rsid w:val="00C50EBF"/>
    <w:rsid w:val="00C819C9"/>
    <w:rsid w:val="00C84BA1"/>
    <w:rsid w:val="00C93611"/>
    <w:rsid w:val="00CB4A30"/>
    <w:rsid w:val="00CC7D6B"/>
    <w:rsid w:val="00D417A2"/>
    <w:rsid w:val="00D758E4"/>
    <w:rsid w:val="00D87149"/>
    <w:rsid w:val="00DC4F23"/>
    <w:rsid w:val="00DD4E4A"/>
    <w:rsid w:val="00E319E3"/>
    <w:rsid w:val="00E33508"/>
    <w:rsid w:val="00E33FD8"/>
    <w:rsid w:val="00E359CA"/>
    <w:rsid w:val="00E476A9"/>
    <w:rsid w:val="00E6553D"/>
    <w:rsid w:val="00E67C93"/>
    <w:rsid w:val="00E83152"/>
    <w:rsid w:val="00F14C1B"/>
    <w:rsid w:val="00F4751E"/>
    <w:rsid w:val="00F76DEB"/>
    <w:rsid w:val="00F94398"/>
    <w:rsid w:val="00FD65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Elenco Normale,название табл/рис,AC List 01,заголовок 1.1,EBRD List,Список уровня 2,List Paragraph,CA bullets,Bullet Number,Bullet 1,Use Case List Paragraph,lp1,List Paragraph1,lp11,List Paragraph11,Chapter10,Литература,Number Bullets"/>
    <w:basedOn w:val="a"/>
    <w:link w:val="a4"/>
    <w:uiPriority w:val="34"/>
    <w:qFormat/>
    <w:rsid w:val="000B1F80"/>
    <w:pPr>
      <w:ind w:left="720"/>
      <w:contextualSpacing/>
    </w:pPr>
    <w:rPr>
      <w:rFonts w:ascii="Calibri" w:eastAsia="Calibri" w:hAnsi="Calibri" w:cs="Times New Roman"/>
    </w:rPr>
  </w:style>
  <w:style w:type="character" w:customStyle="1" w:styleId="a4">
    <w:name w:val="Абзац списку Знак"/>
    <w:aliases w:val="Elenco Normale Знак,название табл/рис Знак,AC List 01 Знак,заголовок 1.1 Знак,EBRD List Знак,Список уровня 2 Знак,List Paragraph Знак,CA bullets Знак,Bullet Number Знак,Bullet 1 Знак,Use Case List Paragraph Знак,lp1 Знак,lp11 Знак"/>
    <w:link w:val="a3"/>
    <w:uiPriority w:val="34"/>
    <w:qFormat/>
    <w:locked/>
    <w:rsid w:val="000B1F80"/>
    <w:rPr>
      <w:rFonts w:ascii="Calibri" w:eastAsia="Calibri" w:hAnsi="Calibri" w:cs="Times New Roman"/>
    </w:rPr>
  </w:style>
  <w:style w:type="paragraph" w:customStyle="1" w:styleId="a5">
    <w:name w:val="a"/>
    <w:basedOn w:val="a"/>
    <w:rsid w:val="00D8714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W8Num2z3">
    <w:name w:val="WW8Num2z3"/>
    <w:rsid w:val="008A6119"/>
    <w:rPr>
      <w:rFonts w:ascii="Symbol" w:hAnsi="Symbo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Elenco Normale,название табл/рис,AC List 01,заголовок 1.1,EBRD List,Список уровня 2,List Paragraph,CA bullets,Bullet Number,Bullet 1,Use Case List Paragraph,lp1,List Paragraph1,lp11,List Paragraph11,Chapter10,Литература,Number Bullets"/>
    <w:basedOn w:val="a"/>
    <w:link w:val="a4"/>
    <w:uiPriority w:val="34"/>
    <w:qFormat/>
    <w:rsid w:val="000B1F80"/>
    <w:pPr>
      <w:ind w:left="720"/>
      <w:contextualSpacing/>
    </w:pPr>
    <w:rPr>
      <w:rFonts w:ascii="Calibri" w:eastAsia="Calibri" w:hAnsi="Calibri" w:cs="Times New Roman"/>
    </w:rPr>
  </w:style>
  <w:style w:type="character" w:customStyle="1" w:styleId="a4">
    <w:name w:val="Абзац списку Знак"/>
    <w:aliases w:val="Elenco Normale Знак,название табл/рис Знак,AC List 01 Знак,заголовок 1.1 Знак,EBRD List Знак,Список уровня 2 Знак,List Paragraph Знак,CA bullets Знак,Bullet Number Знак,Bullet 1 Знак,Use Case List Paragraph Знак,lp1 Знак,lp11 Знак"/>
    <w:link w:val="a3"/>
    <w:uiPriority w:val="34"/>
    <w:qFormat/>
    <w:locked/>
    <w:rsid w:val="000B1F80"/>
    <w:rPr>
      <w:rFonts w:ascii="Calibri" w:eastAsia="Calibri" w:hAnsi="Calibri" w:cs="Times New Roman"/>
    </w:rPr>
  </w:style>
  <w:style w:type="paragraph" w:customStyle="1" w:styleId="a5">
    <w:name w:val="a"/>
    <w:basedOn w:val="a"/>
    <w:rsid w:val="00D8714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W8Num2z3">
    <w:name w:val="WW8Num2z3"/>
    <w:rsid w:val="008A6119"/>
    <w:rPr>
      <w:rFonts w:ascii="Symbol" w:hAnsi="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2713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1986</Words>
  <Characters>1133</Characters>
  <Application>Microsoft Office Word</Application>
  <DocSecurity>0</DocSecurity>
  <Lines>9</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2800-shvetss</dc:creator>
  <cp:lastModifiedBy>RePack by Diakov</cp:lastModifiedBy>
  <cp:revision>2</cp:revision>
  <cp:lastPrinted>2021-10-21T13:17:00Z</cp:lastPrinted>
  <dcterms:created xsi:type="dcterms:W3CDTF">2021-11-26T12:11:00Z</dcterms:created>
  <dcterms:modified xsi:type="dcterms:W3CDTF">2021-11-26T12:11:00Z</dcterms:modified>
</cp:coreProperties>
</file>