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FF" w:rsidRPr="00B35A19" w:rsidRDefault="002C1CFF" w:rsidP="002C1CF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B35A19">
        <w:rPr>
          <w:rFonts w:ascii="Times New Roman" w:hAnsi="Times New Roman" w:cs="Times New Roman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7977E" wp14:editId="64CB97F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 w:rsidRPr="00B35A19">
        <w:rPr>
          <w:rFonts w:ascii="Times New Roman" w:hAnsi="Times New Roman" w:cs="Times New Roman"/>
          <w:lang w:val="uk-UA" w:eastAsia="uk-UA"/>
        </w:rPr>
        <w:drawing>
          <wp:inline distT="0" distB="0" distL="0" distR="0" wp14:anchorId="71919460" wp14:editId="78F6292C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234AE" w:rsidRDefault="005234AE" w:rsidP="005234A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val="uk-UA" w:eastAsia="ru-RU"/>
        </w:rPr>
      </w:pPr>
      <w:r w:rsidRPr="005234AE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val="uk-UA" w:eastAsia="ru-RU"/>
        </w:rPr>
        <w:t>Які юридичні наслідки неподання одноразової (спеціальної) декларації тими особами, хто має на це право?</w:t>
      </w:r>
    </w:p>
    <w:p w:rsidR="005234AE" w:rsidRPr="005234AE" w:rsidRDefault="005234AE" w:rsidP="005234A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5234AE" w:rsidRPr="005234AE" w:rsidRDefault="005234AE" w:rsidP="005234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Одноразове (спеціальне) декларування, передбачене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Податкового кодексу України від 02 грудня 2010 року № 2755-VI зі змінами та доповненнями (далі – ПКУ), є добровільним.</w:t>
      </w:r>
    </w:p>
    <w:p w:rsidR="005234AE" w:rsidRPr="005234AE" w:rsidRDefault="005234AE" w:rsidP="005234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Разом з тим, якщо особа, яка має право на одноразове (спеціальне) декларування не скористується ним (тобто не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подасть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декларацію), така особа буде вважатися такою, що повідомила контролюючий орган про те, що станом на 31 серпня 2022 року (дату завершення періоду проведення одноразового (спеціального) добровільного декларування):</w:t>
      </w:r>
    </w:p>
    <w:p w:rsidR="005234AE" w:rsidRPr="005234AE" w:rsidRDefault="005234AE" w:rsidP="005234AE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власності такої фізичної особи відсутні активи, одержані (набуті) за рахунок доходів, з яких не сплачено або сплачено не в повному обсязі податки і збори відповідно до податкового законодавства на момент нарахування (отримання) таких доходів, та/або</w:t>
      </w:r>
    </w:p>
    <w:p w:rsidR="005234AE" w:rsidRPr="005234AE" w:rsidRDefault="005234AE" w:rsidP="005234AE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те, що склад та обсяг таких активів (тобто активів, одержаних (набутих) за рахунок доходів, з яких не сплачено або сплачено не в повному обсязі податки і збори відповідно до податкового законодавства на момент нарахування (отримання) таких доходів) у власності такої фізичної особи перебуває в межах, зазначених у п. 10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XX «Перехідні положення» ПКУ.</w:t>
      </w:r>
    </w:p>
    <w:p w:rsidR="009168A4" w:rsidRDefault="005234AE" w:rsidP="005234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Пунктом 10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5234A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ПКУ визначено склад та обсяг активів, джерела одержання (набуття) яких у разі невикористання фізичною особою права на подання Декларації вважаються такими, з яких повністю сплачено податки і збори відповідно до податкового законодавства.</w:t>
      </w:r>
      <w:bookmarkStart w:id="1" w:name="_GoBack"/>
      <w:bookmarkEnd w:id="1"/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168A4" w:rsidRPr="00A8275F" w:rsidRDefault="009168A4" w:rsidP="00A8275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ED4756" w:rsidRPr="00A8275F" w:rsidRDefault="00ED4756" w:rsidP="00B35A1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D4756" w:rsidRPr="00B35A19" w:rsidRDefault="00ED4756" w:rsidP="00B35A19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35A19">
        <w:rPr>
          <w:rFonts w:ascii="Times New Roman" w:hAnsi="Times New Roman" w:cs="Times New Roman"/>
          <w:sz w:val="20"/>
          <w:szCs w:val="20"/>
          <w:lang w:val="uk-UA"/>
        </w:rPr>
        <w:t>18002, м. Черкаси, вул. Хрещатик,235                                           e-</w:t>
      </w:r>
      <w:proofErr w:type="spellStart"/>
      <w:r w:rsidRPr="00B35A19">
        <w:rPr>
          <w:rFonts w:ascii="Times New Roman" w:hAnsi="Times New Roman" w:cs="Times New Roman"/>
          <w:sz w:val="20"/>
          <w:szCs w:val="20"/>
          <w:lang w:val="uk-UA"/>
        </w:rPr>
        <w:t>mail</w:t>
      </w:r>
      <w:proofErr w:type="spellEnd"/>
      <w:r w:rsidRPr="00B35A1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B35A1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ck.zmi@tax.gov.ua</w:t>
        </w:r>
      </w:hyperlink>
    </w:p>
    <w:p w:rsidR="00ED4756" w:rsidRPr="00ED4756" w:rsidRDefault="00ED4756" w:rsidP="00B35A1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A19">
        <w:rPr>
          <w:rFonts w:ascii="Times New Roman" w:hAnsi="Times New Roman" w:cs="Times New Roman"/>
          <w:sz w:val="20"/>
          <w:szCs w:val="20"/>
          <w:lang w:val="uk-UA"/>
        </w:rPr>
        <w:t>тел</w:t>
      </w:r>
      <w:proofErr w:type="spellEnd"/>
      <w:r w:rsidRPr="00B35A19">
        <w:rPr>
          <w:rFonts w:ascii="Times New Roman" w:hAnsi="Times New Roman" w:cs="Times New Roman"/>
          <w:sz w:val="20"/>
          <w:szCs w:val="20"/>
          <w:lang w:val="uk-UA"/>
        </w:rPr>
        <w:t xml:space="preserve">.(0472) 33-91-34                                                                           </w:t>
      </w:r>
      <w:hyperlink r:id="rId8" w:history="1">
        <w:r w:rsidRPr="00B35A1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https://ck.tax.gov.ua/</w:t>
        </w:r>
      </w:hyperlink>
    </w:p>
    <w:sectPr w:rsidR="00ED4756" w:rsidRPr="00ED4756" w:rsidSect="00D553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50F"/>
    <w:multiLevelType w:val="hybridMultilevel"/>
    <w:tmpl w:val="D4961B32"/>
    <w:lvl w:ilvl="0" w:tplc="E878F6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C778F"/>
    <w:multiLevelType w:val="hybridMultilevel"/>
    <w:tmpl w:val="D310CED8"/>
    <w:lvl w:ilvl="0" w:tplc="E878F6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00F35"/>
    <w:multiLevelType w:val="hybridMultilevel"/>
    <w:tmpl w:val="BE06651A"/>
    <w:lvl w:ilvl="0" w:tplc="DD988A0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A5"/>
    <w:rsid w:val="00281277"/>
    <w:rsid w:val="002C1CFF"/>
    <w:rsid w:val="005234AE"/>
    <w:rsid w:val="009168A4"/>
    <w:rsid w:val="00A8275F"/>
    <w:rsid w:val="00B35A19"/>
    <w:rsid w:val="00C136A5"/>
    <w:rsid w:val="00D553B7"/>
    <w:rsid w:val="00D75085"/>
    <w:rsid w:val="00ED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2C1CFF"/>
  </w:style>
  <w:style w:type="character" w:styleId="a3">
    <w:name w:val="Hyperlink"/>
    <w:uiPriority w:val="99"/>
    <w:rsid w:val="002C1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C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53B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2C1CFF"/>
  </w:style>
  <w:style w:type="character" w:styleId="a3">
    <w:name w:val="Hyperlink"/>
    <w:uiPriority w:val="99"/>
    <w:rsid w:val="002C1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C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53B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2021-12-06T13:26:00Z</cp:lastPrinted>
  <dcterms:created xsi:type="dcterms:W3CDTF">2021-12-06T13:26:00Z</dcterms:created>
  <dcterms:modified xsi:type="dcterms:W3CDTF">2021-12-06T13:26:00Z</dcterms:modified>
</cp:coreProperties>
</file>