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0BF" w:rsidRDefault="004F30BF" w:rsidP="004F30BF">
      <w:pPr>
        <w:rPr>
          <w:rFonts w:ascii="Times New Roman" w:hAnsi="Times New Roman" w:cs="Times New Roman"/>
          <w:sz w:val="28"/>
          <w:szCs w:val="28"/>
        </w:rPr>
      </w:pPr>
      <w:r>
        <w:rPr>
          <w:noProof/>
          <w:lang w:eastAsia="uk-UA"/>
        </w:rPr>
        <mc:AlternateContent>
          <mc:Choice Requires="wps">
            <w:drawing>
              <wp:anchor distT="0" distB="0" distL="114300" distR="114300" simplePos="0" relativeHeight="251659264" behindDoc="0" locked="0" layoutInCell="1" allowOverlap="1" wp14:anchorId="4BBF398F" wp14:editId="020FFCA4">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4F30BF" w:rsidRDefault="004F30BF" w:rsidP="004F30BF">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3A5BE350" wp14:editId="722C55B2">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235141" w:rsidRPr="004F30BF" w:rsidRDefault="006004F2" w:rsidP="00613707">
      <w:pPr>
        <w:jc w:val="center"/>
        <w:rPr>
          <w:rFonts w:ascii="Times New Roman" w:hAnsi="Times New Roman" w:cs="Times New Roman"/>
          <w:b/>
          <w:sz w:val="28"/>
          <w:szCs w:val="28"/>
        </w:rPr>
      </w:pPr>
      <w:r w:rsidRPr="004F30BF">
        <w:rPr>
          <w:rFonts w:ascii="Times New Roman" w:hAnsi="Times New Roman" w:cs="Times New Roman"/>
          <w:b/>
          <w:sz w:val="28"/>
          <w:szCs w:val="28"/>
        </w:rPr>
        <w:t>До уваги платників плати за землю!</w:t>
      </w:r>
    </w:p>
    <w:p w:rsidR="006004F2" w:rsidRDefault="004D18EF" w:rsidP="00E5637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004F2" w:rsidRPr="004D18EF">
        <w:rPr>
          <w:rFonts w:ascii="Times New Roman" w:hAnsi="Times New Roman" w:cs="Times New Roman"/>
          <w:sz w:val="28"/>
          <w:szCs w:val="28"/>
        </w:rPr>
        <w:t>За інф</w:t>
      </w:r>
      <w:r>
        <w:rPr>
          <w:rFonts w:ascii="Times New Roman" w:hAnsi="Times New Roman" w:cs="Times New Roman"/>
          <w:sz w:val="28"/>
          <w:szCs w:val="28"/>
        </w:rPr>
        <w:t>о</w:t>
      </w:r>
      <w:r w:rsidR="006004F2" w:rsidRPr="004D18EF">
        <w:rPr>
          <w:rFonts w:ascii="Times New Roman" w:hAnsi="Times New Roman" w:cs="Times New Roman"/>
          <w:sz w:val="28"/>
          <w:szCs w:val="28"/>
        </w:rPr>
        <w:t>рмацією Державної служби України з питань геодезії, картографії  та кадастру коефіцієнт індексації  нормативної грошової</w:t>
      </w:r>
      <w:r w:rsidRPr="004D18EF">
        <w:rPr>
          <w:rFonts w:ascii="Times New Roman" w:hAnsi="Times New Roman" w:cs="Times New Roman"/>
          <w:sz w:val="28"/>
          <w:szCs w:val="28"/>
        </w:rPr>
        <w:t xml:space="preserve"> </w:t>
      </w:r>
      <w:r w:rsidR="006004F2" w:rsidRPr="004D18EF">
        <w:rPr>
          <w:rFonts w:ascii="Times New Roman" w:hAnsi="Times New Roman" w:cs="Times New Roman"/>
          <w:sz w:val="28"/>
          <w:szCs w:val="28"/>
        </w:rPr>
        <w:t xml:space="preserve"> оцінки</w:t>
      </w:r>
      <w:r w:rsidRPr="004D18EF">
        <w:rPr>
          <w:rFonts w:ascii="Times New Roman" w:hAnsi="Times New Roman" w:cs="Times New Roman"/>
          <w:sz w:val="28"/>
          <w:szCs w:val="28"/>
        </w:rPr>
        <w:t xml:space="preserve"> земель і земельних ділянок за 2021 рік становить:</w:t>
      </w:r>
    </w:p>
    <w:p w:rsidR="004D18EF" w:rsidRDefault="00BB5EE1" w:rsidP="00E56371">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4D18EF">
        <w:rPr>
          <w:rFonts w:ascii="Times New Roman" w:hAnsi="Times New Roman" w:cs="Times New Roman"/>
          <w:sz w:val="28"/>
          <w:szCs w:val="28"/>
        </w:rPr>
        <w:t xml:space="preserve">-для сільськогосподарських угідь (рілля, багаторічні насадження, сіножаті, пасовища та перелоги) – </w:t>
      </w:r>
      <w:r w:rsidR="004D18EF" w:rsidRPr="004D18EF">
        <w:rPr>
          <w:rFonts w:ascii="Times New Roman" w:hAnsi="Times New Roman" w:cs="Times New Roman"/>
          <w:b/>
          <w:sz w:val="28"/>
          <w:szCs w:val="28"/>
        </w:rPr>
        <w:t>1,0</w:t>
      </w:r>
      <w:r w:rsidR="004D18EF">
        <w:rPr>
          <w:rFonts w:ascii="Times New Roman" w:hAnsi="Times New Roman" w:cs="Times New Roman"/>
          <w:b/>
          <w:sz w:val="28"/>
          <w:szCs w:val="28"/>
        </w:rPr>
        <w:t>;</w:t>
      </w:r>
    </w:p>
    <w:p w:rsidR="004D18EF" w:rsidRPr="004D18EF" w:rsidRDefault="00BB5EE1" w:rsidP="00E5637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4D18EF">
        <w:rPr>
          <w:rFonts w:ascii="Times New Roman" w:hAnsi="Times New Roman" w:cs="Times New Roman"/>
          <w:b/>
          <w:sz w:val="28"/>
          <w:szCs w:val="28"/>
        </w:rPr>
        <w:t xml:space="preserve">- </w:t>
      </w:r>
      <w:r w:rsidR="004D18EF" w:rsidRPr="004D18EF">
        <w:rPr>
          <w:rFonts w:ascii="Times New Roman" w:hAnsi="Times New Roman" w:cs="Times New Roman"/>
          <w:sz w:val="28"/>
          <w:szCs w:val="28"/>
        </w:rPr>
        <w:t>для земель населених пунктів т</w:t>
      </w:r>
      <w:r w:rsidR="00453749">
        <w:rPr>
          <w:rFonts w:ascii="Times New Roman" w:hAnsi="Times New Roman" w:cs="Times New Roman"/>
          <w:sz w:val="28"/>
          <w:szCs w:val="28"/>
        </w:rPr>
        <w:t>а</w:t>
      </w:r>
      <w:r w:rsidR="004D18EF" w:rsidRPr="004D18EF">
        <w:rPr>
          <w:rFonts w:ascii="Times New Roman" w:hAnsi="Times New Roman" w:cs="Times New Roman"/>
          <w:sz w:val="28"/>
          <w:szCs w:val="28"/>
        </w:rPr>
        <w:t xml:space="preserve"> інших земель несільс</w:t>
      </w:r>
      <w:r w:rsidR="004D18EF">
        <w:rPr>
          <w:rFonts w:ascii="Times New Roman" w:hAnsi="Times New Roman" w:cs="Times New Roman"/>
          <w:sz w:val="28"/>
          <w:szCs w:val="28"/>
        </w:rPr>
        <w:t>ь</w:t>
      </w:r>
      <w:r w:rsidR="004D18EF" w:rsidRPr="004D18EF">
        <w:rPr>
          <w:rFonts w:ascii="Times New Roman" w:hAnsi="Times New Roman" w:cs="Times New Roman"/>
          <w:sz w:val="28"/>
          <w:szCs w:val="28"/>
        </w:rPr>
        <w:t>когосподарського призначення</w:t>
      </w:r>
      <w:r w:rsidR="004D18EF">
        <w:rPr>
          <w:rFonts w:ascii="Times New Roman" w:hAnsi="Times New Roman" w:cs="Times New Roman"/>
          <w:b/>
          <w:sz w:val="28"/>
          <w:szCs w:val="28"/>
        </w:rPr>
        <w:t xml:space="preserve"> – 1,1</w:t>
      </w:r>
      <w:r w:rsidR="00613707">
        <w:rPr>
          <w:rFonts w:ascii="Times New Roman" w:hAnsi="Times New Roman" w:cs="Times New Roman"/>
          <w:b/>
          <w:sz w:val="28"/>
          <w:szCs w:val="28"/>
        </w:rPr>
        <w:t>.</w:t>
      </w:r>
    </w:p>
    <w:p w:rsidR="009E2403" w:rsidRDefault="00613707" w:rsidP="00E56371">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t xml:space="preserve">Таким чином при обчисленні податкового зобов’язання з плати за землю (земельного податку та /або орендної плати за земельні ділянки державної або комунальної власності) </w:t>
      </w:r>
      <w:r w:rsidR="004600F5">
        <w:rPr>
          <w:rFonts w:ascii="Times New Roman" w:hAnsi="Times New Roman" w:cs="Times New Roman"/>
          <w:sz w:val="28"/>
          <w:szCs w:val="28"/>
        </w:rPr>
        <w:t>на</w:t>
      </w:r>
      <w:r w:rsidRPr="003974B4">
        <w:rPr>
          <w:rFonts w:ascii="Times New Roman" w:hAnsi="Times New Roman" w:cs="Times New Roman"/>
          <w:b/>
          <w:sz w:val="28"/>
          <w:szCs w:val="28"/>
        </w:rPr>
        <w:t xml:space="preserve"> 2022 рік</w:t>
      </w:r>
      <w:r>
        <w:rPr>
          <w:rFonts w:ascii="Times New Roman" w:hAnsi="Times New Roman" w:cs="Times New Roman"/>
          <w:sz w:val="28"/>
          <w:szCs w:val="28"/>
        </w:rPr>
        <w:t xml:space="preserve"> необхідно </w:t>
      </w:r>
      <w:r w:rsidR="004600F5">
        <w:rPr>
          <w:rFonts w:ascii="Times New Roman" w:hAnsi="Times New Roman" w:cs="Times New Roman"/>
          <w:sz w:val="28"/>
          <w:szCs w:val="28"/>
        </w:rPr>
        <w:t xml:space="preserve">нормативну грошову оцінку </w:t>
      </w:r>
      <w:r w:rsidR="004600F5" w:rsidRPr="004D18EF">
        <w:rPr>
          <w:rFonts w:ascii="Times New Roman" w:hAnsi="Times New Roman" w:cs="Times New Roman"/>
          <w:sz w:val="28"/>
          <w:szCs w:val="28"/>
        </w:rPr>
        <w:t>земель населених пунктів ті інших земель несільс</w:t>
      </w:r>
      <w:r w:rsidR="004600F5">
        <w:rPr>
          <w:rFonts w:ascii="Times New Roman" w:hAnsi="Times New Roman" w:cs="Times New Roman"/>
          <w:sz w:val="28"/>
          <w:szCs w:val="28"/>
        </w:rPr>
        <w:t>ь</w:t>
      </w:r>
      <w:r w:rsidR="004600F5" w:rsidRPr="004D18EF">
        <w:rPr>
          <w:rFonts w:ascii="Times New Roman" w:hAnsi="Times New Roman" w:cs="Times New Roman"/>
          <w:sz w:val="28"/>
          <w:szCs w:val="28"/>
        </w:rPr>
        <w:t>когосподарського призначення</w:t>
      </w:r>
      <w:r w:rsidR="004600F5">
        <w:rPr>
          <w:rFonts w:ascii="Times New Roman" w:hAnsi="Times New Roman" w:cs="Times New Roman"/>
          <w:sz w:val="28"/>
          <w:szCs w:val="28"/>
        </w:rPr>
        <w:t xml:space="preserve"> за 2021 рік </w:t>
      </w:r>
      <w:proofErr w:type="spellStart"/>
      <w:r w:rsidR="004600F5">
        <w:rPr>
          <w:rFonts w:ascii="Times New Roman" w:hAnsi="Times New Roman" w:cs="Times New Roman"/>
          <w:sz w:val="28"/>
          <w:szCs w:val="28"/>
        </w:rPr>
        <w:t>проіндексувати</w:t>
      </w:r>
      <w:proofErr w:type="spellEnd"/>
      <w:r w:rsidR="004600F5">
        <w:rPr>
          <w:rFonts w:ascii="Times New Roman" w:hAnsi="Times New Roman" w:cs="Times New Roman"/>
          <w:sz w:val="28"/>
          <w:szCs w:val="28"/>
        </w:rPr>
        <w:t xml:space="preserve"> </w:t>
      </w:r>
      <w:r w:rsidR="00E56371" w:rsidRPr="009E2403">
        <w:rPr>
          <w:rFonts w:ascii="Times New Roman" w:hAnsi="Times New Roman" w:cs="Times New Roman"/>
          <w:b/>
          <w:sz w:val="28"/>
          <w:szCs w:val="28"/>
        </w:rPr>
        <w:t xml:space="preserve">на </w:t>
      </w:r>
      <w:r w:rsidR="009E2403" w:rsidRPr="009E2403">
        <w:rPr>
          <w:rFonts w:ascii="Times New Roman" w:hAnsi="Times New Roman" w:cs="Times New Roman"/>
          <w:b/>
          <w:sz w:val="28"/>
          <w:szCs w:val="28"/>
        </w:rPr>
        <w:t>коефіцієнт 1,1</w:t>
      </w:r>
      <w:r w:rsidR="009E2403">
        <w:rPr>
          <w:rFonts w:ascii="Times New Roman" w:hAnsi="Times New Roman" w:cs="Times New Roman"/>
          <w:b/>
          <w:sz w:val="28"/>
          <w:szCs w:val="28"/>
        </w:rPr>
        <w:t>.</w:t>
      </w:r>
    </w:p>
    <w:p w:rsidR="00BB5EE1" w:rsidRDefault="00BB5EE1" w:rsidP="00BB5EE1">
      <w:pPr>
        <w:spacing w:after="0" w:line="240" w:lineRule="auto"/>
        <w:jc w:val="both"/>
        <w:rPr>
          <w:rFonts w:ascii="Times New Roman" w:hAnsi="Times New Roman" w:cs="Times New Roman"/>
          <w:sz w:val="28"/>
          <w:szCs w:val="28"/>
        </w:rPr>
      </w:pPr>
    </w:p>
    <w:p w:rsidR="00BB5EE1" w:rsidRPr="00BB5EE1" w:rsidRDefault="009E2403" w:rsidP="00BB5EE1">
      <w:pPr>
        <w:spacing w:after="0" w:line="240" w:lineRule="auto"/>
        <w:jc w:val="both"/>
        <w:rPr>
          <w:rFonts w:ascii="Times New Roman" w:hAnsi="Times New Roman" w:cs="Times New Roman"/>
          <w:sz w:val="28"/>
          <w:szCs w:val="28"/>
        </w:rPr>
      </w:pPr>
      <w:r w:rsidRPr="00BB5EE1">
        <w:rPr>
          <w:rFonts w:ascii="Times New Roman" w:hAnsi="Times New Roman" w:cs="Times New Roman"/>
          <w:sz w:val="28"/>
          <w:szCs w:val="28"/>
        </w:rPr>
        <w:tab/>
      </w:r>
      <w:r w:rsidR="00BB5EE1" w:rsidRPr="00BB5EE1">
        <w:rPr>
          <w:rFonts w:ascii="Times New Roman" w:hAnsi="Times New Roman" w:cs="Times New Roman"/>
          <w:sz w:val="28"/>
          <w:szCs w:val="28"/>
        </w:rPr>
        <w:t>К</w:t>
      </w:r>
      <w:r w:rsidRPr="00BB5EE1">
        <w:rPr>
          <w:rFonts w:ascii="Times New Roman" w:hAnsi="Times New Roman" w:cs="Times New Roman"/>
          <w:sz w:val="28"/>
          <w:szCs w:val="28"/>
        </w:rPr>
        <w:t xml:space="preserve">рім цього </w:t>
      </w:r>
      <w:r w:rsidR="00BB5EE1" w:rsidRPr="00BB5EE1">
        <w:rPr>
          <w:rFonts w:ascii="Times New Roman" w:hAnsi="Times New Roman" w:cs="Times New Roman"/>
          <w:sz w:val="28"/>
          <w:szCs w:val="28"/>
        </w:rPr>
        <w:t>звертаємо увагу, що у зв’язку з прийняттям Закону України від 30 листопада 2021 року №1914-ХІ «Про внесення змін до Податкового кодексу України та інших законодавчих актів України щодо забезпечення збалансованості бюджетних надходжень» розширено перелік підстав для нарахування земельного податку, визначених пунктом 286.1 статті 286 Податкового кодексу України.</w:t>
      </w:r>
    </w:p>
    <w:p w:rsidR="00BB5EE1" w:rsidRPr="00BB5EE1" w:rsidRDefault="00BB5EE1" w:rsidP="00BB5EE1">
      <w:pPr>
        <w:pStyle w:val="a3"/>
        <w:spacing w:before="0" w:beforeAutospacing="0" w:after="0" w:afterAutospacing="0"/>
        <w:jc w:val="both"/>
        <w:rPr>
          <w:sz w:val="28"/>
          <w:szCs w:val="28"/>
        </w:rPr>
      </w:pPr>
      <w:r>
        <w:rPr>
          <w:sz w:val="28"/>
          <w:szCs w:val="28"/>
        </w:rPr>
        <w:tab/>
        <w:t xml:space="preserve">Відповідно до змін, </w:t>
      </w:r>
      <w:r w:rsidRPr="00BB5EE1">
        <w:rPr>
          <w:sz w:val="28"/>
          <w:szCs w:val="28"/>
        </w:rPr>
        <w:t>підставою для нарахування земельного податку є:</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а) дані державного земельного кадастру;</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б) дані Державного реєстру речових прав на нерухоме майно;</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в) дані державних актів, якими посвідчено право власності або право постійного користування земельною ділянкою (державні акти на землю);</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г) дані сертифікатів на право на земельні частки (паї);</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ґ) рішення органу місцевого самоврядування про виділення земельних ділянок у натурі (на місцевості) власникам земельних часток (паїв);</w:t>
      </w:r>
    </w:p>
    <w:p w:rsidR="00BB5EE1" w:rsidRPr="00BB5EE1" w:rsidRDefault="00BB5EE1" w:rsidP="00BB5EE1">
      <w:pPr>
        <w:pStyle w:val="a3"/>
        <w:spacing w:before="0" w:beforeAutospacing="0" w:after="0" w:afterAutospacing="0"/>
        <w:jc w:val="both"/>
        <w:rPr>
          <w:sz w:val="28"/>
          <w:szCs w:val="28"/>
        </w:rPr>
      </w:pPr>
      <w:r>
        <w:rPr>
          <w:sz w:val="28"/>
          <w:szCs w:val="28"/>
        </w:rPr>
        <w:tab/>
      </w:r>
      <w:r w:rsidRPr="00BB5EE1">
        <w:rPr>
          <w:sz w:val="28"/>
          <w:szCs w:val="28"/>
        </w:rPr>
        <w:t>д) дані інших правовстановлюючих документів, якими посвідчується право власності або право користування земельною ділянкою, право на земельні частки (паї).</w:t>
      </w:r>
    </w:p>
    <w:p w:rsidR="004D18EF" w:rsidRDefault="009E2403" w:rsidP="00BB5EE1">
      <w:pPr>
        <w:spacing w:after="0" w:line="240" w:lineRule="auto"/>
        <w:jc w:val="both"/>
        <w:rPr>
          <w:rFonts w:ascii="Times New Roman" w:hAnsi="Times New Roman" w:cs="Times New Roman"/>
          <w:sz w:val="28"/>
          <w:szCs w:val="28"/>
          <w:lang w:val="en-US"/>
        </w:rPr>
      </w:pPr>
      <w:r w:rsidRPr="00BB5EE1">
        <w:rPr>
          <w:rFonts w:ascii="Times New Roman" w:hAnsi="Times New Roman" w:cs="Times New Roman"/>
          <w:sz w:val="28"/>
          <w:szCs w:val="28"/>
        </w:rPr>
        <w:t xml:space="preserve"> </w:t>
      </w:r>
      <w:r w:rsidR="00245FB2">
        <w:rPr>
          <w:rFonts w:ascii="Times New Roman" w:hAnsi="Times New Roman" w:cs="Times New Roman"/>
          <w:sz w:val="28"/>
          <w:szCs w:val="28"/>
        </w:rPr>
        <w:t xml:space="preserve"> </w:t>
      </w:r>
    </w:p>
    <w:p w:rsidR="004F30BF" w:rsidRDefault="004F30BF" w:rsidP="00BB5EE1">
      <w:pPr>
        <w:spacing w:after="0" w:line="240" w:lineRule="auto"/>
        <w:jc w:val="both"/>
        <w:rPr>
          <w:rFonts w:ascii="Times New Roman" w:hAnsi="Times New Roman" w:cs="Times New Roman"/>
          <w:sz w:val="28"/>
          <w:szCs w:val="28"/>
          <w:lang w:val="en-US"/>
        </w:rPr>
      </w:pPr>
    </w:p>
    <w:p w:rsidR="004F30BF" w:rsidRDefault="004F30BF" w:rsidP="00BB5EE1">
      <w:pPr>
        <w:spacing w:after="0" w:line="240" w:lineRule="auto"/>
        <w:jc w:val="both"/>
        <w:rPr>
          <w:rFonts w:ascii="Times New Roman" w:hAnsi="Times New Roman" w:cs="Times New Roman"/>
          <w:sz w:val="28"/>
          <w:szCs w:val="28"/>
          <w:lang w:val="en-US"/>
        </w:rPr>
      </w:pPr>
    </w:p>
    <w:p w:rsidR="004F30BF" w:rsidRDefault="004F30BF" w:rsidP="00BB5EE1">
      <w:pPr>
        <w:spacing w:after="0" w:line="240" w:lineRule="auto"/>
        <w:jc w:val="both"/>
        <w:rPr>
          <w:rFonts w:ascii="Times New Roman" w:hAnsi="Times New Roman" w:cs="Times New Roman"/>
          <w:sz w:val="28"/>
          <w:szCs w:val="28"/>
          <w:lang w:val="en-US"/>
        </w:rPr>
      </w:pPr>
    </w:p>
    <w:p w:rsidR="004F30BF" w:rsidRDefault="004F30BF" w:rsidP="00BB5EE1">
      <w:pPr>
        <w:spacing w:after="0" w:line="240" w:lineRule="auto"/>
        <w:jc w:val="both"/>
        <w:rPr>
          <w:rFonts w:ascii="Times New Roman" w:hAnsi="Times New Roman" w:cs="Times New Roman"/>
          <w:sz w:val="28"/>
          <w:szCs w:val="28"/>
          <w:lang w:val="en-US"/>
        </w:rPr>
      </w:pPr>
      <w:bookmarkStart w:id="1" w:name="_GoBack"/>
      <w:bookmarkEnd w:id="1"/>
    </w:p>
    <w:p w:rsidR="004F30BF" w:rsidRPr="00EA716F" w:rsidRDefault="004F30BF" w:rsidP="004F30BF">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Черкаси, вул. Хрещатик,235                                           </w:t>
      </w:r>
      <w:r w:rsidRPr="00EA716F">
        <w:rPr>
          <w:rFonts w:ascii="Times New Roman" w:hAnsi="Times New Roman" w:cs="Times New Roman"/>
          <w:sz w:val="20"/>
          <w:szCs w:val="20"/>
          <w:lang w:val="en-US"/>
        </w:rPr>
        <w:t>e</w:t>
      </w:r>
      <w:r w:rsidRPr="00EA716F">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A716F">
        <w:rPr>
          <w:rFonts w:ascii="Times New Roman" w:hAnsi="Times New Roman" w:cs="Times New Roman"/>
          <w:sz w:val="20"/>
          <w:szCs w:val="20"/>
        </w:rPr>
        <w:t xml:space="preserve">: </w:t>
      </w:r>
      <w:hyperlink r:id="rId6" w:history="1">
        <w:r w:rsidRPr="00EA716F">
          <w:rPr>
            <w:rStyle w:val="a6"/>
            <w:rFonts w:ascii="Times New Roman" w:hAnsi="Times New Roman" w:cs="Times New Roman"/>
            <w:sz w:val="20"/>
            <w:szCs w:val="20"/>
            <w:lang w:val="en-US"/>
          </w:rPr>
          <w:t>ck</w:t>
        </w:r>
        <w:r w:rsidRPr="00EA716F">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zmi</w:t>
        </w:r>
        <w:r w:rsidRPr="00EA716F">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tax</w:t>
        </w:r>
        <w:r w:rsidRPr="00EA716F">
          <w:rPr>
            <w:rStyle w:val="a6"/>
            <w:rFonts w:ascii="Times New Roman" w:hAnsi="Times New Roman" w:cs="Times New Roman"/>
            <w:sz w:val="20"/>
            <w:szCs w:val="20"/>
          </w:rPr>
          <w:t>.</w:t>
        </w:r>
        <w:r w:rsidRPr="00EA716F">
          <w:rPr>
            <w:rStyle w:val="a6"/>
            <w:rFonts w:ascii="Times New Roman" w:hAnsi="Times New Roman" w:cs="Times New Roman"/>
            <w:sz w:val="20"/>
            <w:szCs w:val="20"/>
            <w:lang w:val="en-US"/>
          </w:rPr>
          <w:t>gov</w:t>
        </w:r>
        <w:r w:rsidRPr="00EA716F">
          <w:rPr>
            <w:rStyle w:val="a6"/>
            <w:rFonts w:ascii="Times New Roman" w:hAnsi="Times New Roman" w:cs="Times New Roman"/>
            <w:sz w:val="20"/>
            <w:szCs w:val="20"/>
          </w:rPr>
          <w:t>.</w:t>
        </w:r>
        <w:proofErr w:type="spellStart"/>
        <w:r w:rsidRPr="00EA716F">
          <w:rPr>
            <w:rStyle w:val="a6"/>
            <w:rFonts w:ascii="Times New Roman" w:hAnsi="Times New Roman" w:cs="Times New Roman"/>
            <w:sz w:val="20"/>
            <w:szCs w:val="20"/>
            <w:lang w:val="en-US"/>
          </w:rPr>
          <w:t>ua</w:t>
        </w:r>
        <w:proofErr w:type="spellEnd"/>
      </w:hyperlink>
    </w:p>
    <w:p w:rsidR="004F30BF" w:rsidRPr="00745485" w:rsidRDefault="004F30BF" w:rsidP="004F30BF">
      <w:pPr>
        <w:spacing w:after="0" w:line="240" w:lineRule="auto"/>
        <w:jc w:val="both"/>
        <w:rPr>
          <w:rFonts w:ascii="Times New Roman" w:hAnsi="Times New Roman" w:cs="Times New Roman"/>
          <w:sz w:val="28"/>
          <w:szCs w:val="28"/>
          <w:lang w:val="ru-RU"/>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7" w:history="1">
        <w:r w:rsidRPr="00EA716F">
          <w:rPr>
            <w:rStyle w:val="a6"/>
            <w:rFonts w:ascii="Times New Roman" w:hAnsi="Times New Roman" w:cs="Times New Roman"/>
            <w:sz w:val="20"/>
            <w:szCs w:val="20"/>
          </w:rPr>
          <w:t>https://ck.tax.gov.ua/</w:t>
        </w:r>
      </w:hyperlink>
    </w:p>
    <w:p w:rsidR="004F30BF" w:rsidRPr="004F30BF" w:rsidRDefault="004F30BF" w:rsidP="00BB5EE1">
      <w:pPr>
        <w:spacing w:after="0" w:line="240" w:lineRule="auto"/>
        <w:jc w:val="both"/>
        <w:rPr>
          <w:rFonts w:ascii="Times New Roman" w:hAnsi="Times New Roman" w:cs="Times New Roman"/>
          <w:sz w:val="28"/>
          <w:szCs w:val="28"/>
          <w:lang w:val="ru-RU"/>
        </w:rPr>
      </w:pPr>
    </w:p>
    <w:sectPr w:rsidR="004F30BF" w:rsidRPr="004F30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4F2"/>
    <w:rsid w:val="00235141"/>
    <w:rsid w:val="00245FB2"/>
    <w:rsid w:val="003974B4"/>
    <w:rsid w:val="00453749"/>
    <w:rsid w:val="004600F5"/>
    <w:rsid w:val="004D18EF"/>
    <w:rsid w:val="004F30BF"/>
    <w:rsid w:val="006004F2"/>
    <w:rsid w:val="00613707"/>
    <w:rsid w:val="009E2403"/>
    <w:rsid w:val="00BB5EE1"/>
    <w:rsid w:val="00E56371"/>
    <w:rsid w:val="00EB3E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5EE1"/>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4">
    <w:name w:val="Balloon Text"/>
    <w:basedOn w:val="a"/>
    <w:link w:val="a5"/>
    <w:uiPriority w:val="99"/>
    <w:semiHidden/>
    <w:unhideWhenUsed/>
    <w:rsid w:val="004F30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30BF"/>
    <w:rPr>
      <w:rFonts w:ascii="Tahoma" w:hAnsi="Tahoma" w:cs="Tahoma"/>
      <w:sz w:val="16"/>
      <w:szCs w:val="16"/>
    </w:rPr>
  </w:style>
  <w:style w:type="character" w:styleId="a6">
    <w:name w:val="Hyperlink"/>
    <w:uiPriority w:val="99"/>
    <w:rsid w:val="004F30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5EE1"/>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4">
    <w:name w:val="Balloon Text"/>
    <w:basedOn w:val="a"/>
    <w:link w:val="a5"/>
    <w:uiPriority w:val="99"/>
    <w:semiHidden/>
    <w:unhideWhenUsed/>
    <w:rsid w:val="004F30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30BF"/>
    <w:rPr>
      <w:rFonts w:ascii="Tahoma" w:hAnsi="Tahoma" w:cs="Tahoma"/>
      <w:sz w:val="16"/>
      <w:szCs w:val="16"/>
    </w:rPr>
  </w:style>
  <w:style w:type="character" w:styleId="a6">
    <w:name w:val="Hyperlink"/>
    <w:uiPriority w:val="99"/>
    <w:rsid w:val="004F3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1342</Words>
  <Characters>766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2022-01-12T08:54:00Z</dcterms:created>
  <dcterms:modified xsi:type="dcterms:W3CDTF">2022-01-14T09:15:00Z</dcterms:modified>
</cp:coreProperties>
</file>