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B9" w:rsidRDefault="00CB1EB9" w:rsidP="00CB1EB9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0FA56" wp14:editId="2530AE8E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EB9" w:rsidRDefault="00CB1EB9" w:rsidP="00CB1EB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CB1EB9" w:rsidRDefault="00CB1EB9" w:rsidP="00CB1EB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B1EB9" w:rsidRDefault="00CB1EB9" w:rsidP="00CB1EB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B1EB9" w:rsidRDefault="00CB1EB9" w:rsidP="00CB1EB9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CB1EB9" w:rsidRDefault="00CB1EB9" w:rsidP="00CB1EB9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B1EB9" w:rsidRDefault="00CB1EB9" w:rsidP="00CB1EB9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57A5340F" wp14:editId="77CAFF4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B59A7" w:rsidRP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B1EB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Чи потрібно подавати одноразову (спеціальну) добровільну декларацію, за об’єкти рухомого або нерухомого майна, які були отримані у спадок (подарунок) від члена сім’ї першого або другого ступеня споріднення?</w:t>
      </w:r>
    </w:p>
    <w:p w:rsidR="00CB1EB9" w:rsidRDefault="00CB1EB9" w:rsidP="00CB1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B1EB9" w:rsidRP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 3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. ХХ «Перехідні положення» Податкового кодексу України від 02 грудня 2010 року № 2755-VI із змінами та доповненнями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самозайняті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</w:t>
      </w:r>
    </w:p>
    <w:p w:rsidR="00CB1EB9" w:rsidRP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п. 1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. ХХ ПКУ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. 9 прим. 4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>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Оподаткування доходів фізичних осіб регулюється положеннями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>. IV ПКУ.</w:t>
      </w:r>
    </w:p>
    <w:p w:rsid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Порядок оподаткування доходу, отриманого платником податку на доходи фізичних осіб в результаті прийняття ним у спадщину чи дарунок нерухомого або рухомого майна визначено ст. 174 ПКУ, відповідно до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. «а»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>. 174.2.1 п. 174.2 якої за нульовою ставкою оподатковуються об’єкти спадщини, що успадковується членами сім’ї спадкодавця першого та другого ступенів споріднення.</w:t>
      </w:r>
    </w:p>
    <w:p w:rsid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t xml:space="preserve">При цьому об’єкти дарування, зазначені в п. 174.1 ст. 174 ПКУ, подаровані платнику податку іншою фізичною особою, оподатковуються згідно з правилами, встановленими </w:t>
      </w:r>
      <w:proofErr w:type="spellStart"/>
      <w:r w:rsidRPr="00CB1EB9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CB1EB9">
        <w:rPr>
          <w:rFonts w:ascii="Times New Roman" w:hAnsi="Times New Roman" w:cs="Times New Roman"/>
          <w:sz w:val="28"/>
          <w:szCs w:val="28"/>
          <w:lang w:val="uk-UA"/>
        </w:rPr>
        <w:t>. IV ПКУ для оподаткування спадщини (п. 174.6 ст. 174 ПКУ).</w:t>
      </w:r>
    </w:p>
    <w:p w:rsid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Відповідно до п. 174.3 ст. 174 ПКУ особами, відповідальними за сплату (перерахування) податку до бюджету, є спадкоємці/обдаровані, які отримали спадщину/дарунок.</w:t>
      </w:r>
    </w:p>
    <w:p w:rsid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t>Дохід у вигляді вартості успадкованого/отриманого у дарунок майна (у межах, що підлягає оподаткуванню, зазначається в річній податковій декларації про майновий стан та доходи, крім спадкоємців, які отримали у спадщину/дарунок об’єкти, що оподатковуються за нульовою ставкою податку на доходи фізичних осіб.</w:t>
      </w:r>
    </w:p>
    <w:p w:rsidR="005B59A7" w:rsidRPr="00CB1EB9" w:rsidRDefault="005B59A7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EB9">
        <w:rPr>
          <w:rFonts w:ascii="Times New Roman" w:hAnsi="Times New Roman" w:cs="Times New Roman"/>
          <w:sz w:val="28"/>
          <w:szCs w:val="28"/>
          <w:lang w:val="uk-UA"/>
        </w:rPr>
        <w:t>Таким чином, у разі якщо об’єкти рухомого або нерухомого майна були отримані у спадок (подарунок) від члена сім’ї першого або другого ступеня споріднення, то подавати одноразову (спеціальну) добровільну декларацію платнику податків не потрібно за умови відсутності інших підстав для подання такої декларації.</w:t>
      </w: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873D26" w:rsidRDefault="00CB1EB9" w:rsidP="00CB1E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873D26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73D26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73D26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73D26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CB1EB9" w:rsidRPr="00B255AC" w:rsidRDefault="00CB1EB9" w:rsidP="00CB1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B1EB9" w:rsidRPr="00852FE3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B1EB9" w:rsidRPr="00CB1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A7"/>
    <w:rsid w:val="005B59A7"/>
    <w:rsid w:val="008D37F7"/>
    <w:rsid w:val="00CB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EB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1E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EB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1E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2022-01-20T09:31:00Z</dcterms:created>
  <dcterms:modified xsi:type="dcterms:W3CDTF">2022-01-20T09:49:00Z</dcterms:modified>
</cp:coreProperties>
</file>