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2B" w:rsidRDefault="00477B97" w:rsidP="00AD172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77B97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AD172B" w:rsidRDefault="00AD172B" w:rsidP="00AD172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AD172B" w:rsidRDefault="00AD172B" w:rsidP="00AD172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AD172B" w:rsidRDefault="00AD172B" w:rsidP="00AD172B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AD172B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4F6A" w:rsidRDefault="00E14F6A" w:rsidP="00AD1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172B">
        <w:rPr>
          <w:rFonts w:ascii="Times New Roman" w:hAnsi="Times New Roman" w:cs="Times New Roman"/>
          <w:b/>
          <w:sz w:val="28"/>
          <w:szCs w:val="28"/>
          <w:lang w:val="uk-UA"/>
        </w:rPr>
        <w:t>Чи може підприємство торгівлі прийняти готівкові кошти від ФО за передані їй корпоративні права без застосування реєстратора розрахункових операцій та/або програмного РРО?</w:t>
      </w:r>
    </w:p>
    <w:p w:rsidR="00AD172B" w:rsidRPr="00AD172B" w:rsidRDefault="00AD172B" w:rsidP="00AD1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172B" w:rsidRDefault="00E14F6A" w:rsidP="00AD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72B">
        <w:rPr>
          <w:rFonts w:ascii="Times New Roman" w:hAnsi="Times New Roman" w:cs="Times New Roman"/>
          <w:sz w:val="28"/>
          <w:szCs w:val="28"/>
          <w:lang w:val="uk-UA"/>
        </w:rPr>
        <w:t>     Відповідно до п. 1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(далі – Закон № 265)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чеків,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 проводити розрахункові операції на повну суму покупки (надання послуги) через зареєстровані, опломбовані у встановленому порядку та переведені у фіскальний режим роботи реєстратори розрахункових операцій (далі – РРО) або через зареєстровані фіскальним сервером контролюючого органу програмні РРО (далі – ПРРО) зі створенням у паперовій та/або електронній формі відповідних розрахункових документів, що підтверджують виконання розрахункових операцій, або у випадках, передбачених Законом № 265, із застосуванням зареєстрованих у встановленом</w:t>
      </w:r>
      <w:r w:rsidR="00AD172B">
        <w:rPr>
          <w:rFonts w:ascii="Times New Roman" w:hAnsi="Times New Roman" w:cs="Times New Roman"/>
          <w:sz w:val="28"/>
          <w:szCs w:val="28"/>
          <w:lang w:val="uk-UA"/>
        </w:rPr>
        <w:t>у порядку розрахункових книжок.</w:t>
      </w:r>
    </w:p>
    <w:p w:rsidR="002221B8" w:rsidRPr="00AD172B" w:rsidRDefault="00E14F6A" w:rsidP="00AD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72B">
        <w:rPr>
          <w:rFonts w:ascii="Times New Roman" w:hAnsi="Times New Roman" w:cs="Times New Roman"/>
          <w:sz w:val="28"/>
          <w:szCs w:val="28"/>
          <w:lang w:val="uk-UA"/>
        </w:rPr>
        <w:t>Отже, підприємство торгівлі, при отриманні від фізичної особи готівкових коштів за передані їй корпоративні права, має здійснювати такі операції із застосуванням РРО та/або ПРРО або проводити розрахунки у безготівковій формі через установи банків.</w:t>
      </w:r>
    </w:p>
    <w:p w:rsidR="00AD172B" w:rsidRDefault="00AD172B" w:rsidP="00AD172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72B" w:rsidRDefault="00AD172B" w:rsidP="00AD172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06DF" w:rsidRPr="008B64A5" w:rsidRDefault="007006DF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72B" w:rsidRDefault="00AD172B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72B" w:rsidRPr="00AD172B" w:rsidRDefault="00AD172B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72B" w:rsidRPr="007006DF" w:rsidRDefault="00AD172B" w:rsidP="00AD17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72B" w:rsidRPr="007006DF" w:rsidRDefault="00AD172B" w:rsidP="00AD17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5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AD172B" w:rsidRPr="00EA716F" w:rsidRDefault="00AD172B" w:rsidP="00AD17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AD172B" w:rsidRPr="00AD172B" w:rsidRDefault="00AD172B" w:rsidP="00E14F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D172B" w:rsidRPr="00AD172B" w:rsidSect="0047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4F6A"/>
    <w:rsid w:val="00281277"/>
    <w:rsid w:val="00477B97"/>
    <w:rsid w:val="007006DF"/>
    <w:rsid w:val="008B64A5"/>
    <w:rsid w:val="00AD172B"/>
    <w:rsid w:val="00D75085"/>
    <w:rsid w:val="00E1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D172B"/>
  </w:style>
  <w:style w:type="character" w:styleId="a3">
    <w:name w:val="Hyperlink"/>
    <w:uiPriority w:val="99"/>
    <w:rsid w:val="00AD1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D172B"/>
  </w:style>
  <w:style w:type="character" w:styleId="a3">
    <w:name w:val="Hyperlink"/>
    <w:uiPriority w:val="99"/>
    <w:rsid w:val="00AD1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4</cp:revision>
  <dcterms:created xsi:type="dcterms:W3CDTF">2021-12-08T12:45:00Z</dcterms:created>
  <dcterms:modified xsi:type="dcterms:W3CDTF">2021-12-10T07:50:00Z</dcterms:modified>
</cp:coreProperties>
</file>