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11" w:rsidRDefault="00E55F11" w:rsidP="00E55F11">
      <w:pPr>
        <w:spacing w:after="0"/>
      </w:pPr>
      <w:bookmarkStart w:id="0" w:name="_GoBack"/>
      <w:bookmarkEnd w:id="0"/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D10A1" wp14:editId="31F3BB5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F11" w:rsidRPr="000A7DA7" w:rsidRDefault="00E55F11" w:rsidP="00E55F1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55F11" w:rsidRPr="00D07571" w:rsidRDefault="00E55F11" w:rsidP="00E55F1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55F11" w:rsidRPr="00D07571" w:rsidRDefault="00E55F11" w:rsidP="00E55F1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55F11" w:rsidRPr="000A7DA7" w:rsidRDefault="00E55F11" w:rsidP="00E55F1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55F11" w:rsidRPr="00D07571" w:rsidRDefault="00E55F11" w:rsidP="00E55F1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55F11" w:rsidRPr="00D07571" w:rsidRDefault="00E55F11" w:rsidP="00E55F1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6E66E40D" wp14:editId="7C47B2B1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F11" w:rsidRDefault="00E55F11" w:rsidP="00E55F1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1FF9" w:rsidRPr="001E1EBE" w:rsidRDefault="00F61FF9" w:rsidP="00E55F1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1EBE">
        <w:rPr>
          <w:rFonts w:ascii="Times New Roman" w:hAnsi="Times New Roman" w:cs="Times New Roman"/>
          <w:b/>
          <w:sz w:val="28"/>
          <w:szCs w:val="28"/>
        </w:rPr>
        <w:t>Чи є об’єктом оподаткування податком на нерухоме майно, відмінне від земельної ділянки, виробничі будівлі, що використовуються як адміністративно-побутові, для конторських та адміністративних цілей (офісні)?</w:t>
      </w:r>
    </w:p>
    <w:p w:rsid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F61FF9" w:rsidRPr="002361E3" w:rsidRDefault="002361E3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1FF9" w:rsidRPr="00F61FF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>. 266.1.1 п. 266.1 ст. 266 Податкового кодексу України (далі – ПКУ) платниками податку на нерухоме майно, відмінне від земельної ділянки, є фізичні та юридичні особи, в тому числі нерезиденти, які є власниками житлової та/або нежитлової нерухомості.</w:t>
      </w:r>
    </w:p>
    <w:p w:rsidR="00F61FF9" w:rsidRPr="00E55F11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Об’єктом оподаткування податком на нерухоме майно, відмінне від земельної ділянки, є об’єкт житлової та нежитлової нерухомості, в тому числі його частка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266.2.1 п. 266.2 ст. 266 ПКУ).</w:t>
      </w:r>
    </w:p>
    <w:p w:rsidR="00F61FF9" w:rsidRPr="00F61FF9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11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зокрема, документів на право власності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266.3.2 п. 266.3 ст. 266 ПКУ).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1E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з загальної площі кожного окремого об’єкта оподаткування на підставі документів, що підтверджують право власності на такий об’єкт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 xml:space="preserve">. 266.3.3 п. 266.3 ст. 266 ПКУ). 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 xml:space="preserve">Згідно з 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14.1.129 прим. 1 п. 14.1 ст. 14 ПКУ у нежитловій нерухомості виділяють, зокрема, будівлі офісні (будівлі фінансового обслуговування, адміністративно-побутові будівлі, будівлі для конторських та адміністративних цілей), будівлі промислові та склади.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 xml:space="preserve">Підпунктом «є» 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266.2.2 п. 266.2 ст. 266 ПКУ визначено перелік об’єктів нерухомості, які не є об’єктом оподаткування, до яких входять будівлі промисловості, віднесені до групи «Будівлі промислові та склади» (код 125) Державного класифікатора будівель та споруд ДК 018-2000, затвердженого наказом Державного комітету України по стандартизації, метрології та сертифікації від 17.08.2000 № 507 (далі – Класифікатор), що використовуються за призначенням у господарській діяльності суб’єктів господарювання, основна діяльність яких класифікується у секціях B – F КВЕД ДК 009:2010, затвердженого наказом Державного комітету України з питань технічного регулювання та споживчої політики від 29.11.2010 № 530, та не здаються їх власниками в оренду, лізинг, позичку.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61FF9">
        <w:rPr>
          <w:rFonts w:ascii="Times New Roman" w:hAnsi="Times New Roman" w:cs="Times New Roman"/>
          <w:sz w:val="28"/>
          <w:szCs w:val="28"/>
        </w:rPr>
        <w:t>Згідно з Класифікатором до групи «Будівлі промислові та склади» (код 125) належить клас «Будівлі промисловості» (код 1251), який включає будівлі промисловості, зокрема, виробничі корпуси, цехи, складські приміщення промислових підприємств тощо.</w:t>
      </w:r>
    </w:p>
    <w:p w:rsidR="00F61FF9" w:rsidRPr="00F61FF9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До групи «Будівлі офісні» (код 122) належать будівлі, що використовуються як приміщення для конторських та адміністративних цілей, в тому числі для промислових підприємств.</w:t>
      </w:r>
    </w:p>
    <w:p w:rsidR="00F61FF9" w:rsidRPr="002361E3" w:rsidRDefault="002361E3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1FF9" w:rsidRPr="00F61FF9">
        <w:rPr>
          <w:rFonts w:ascii="Times New Roman" w:hAnsi="Times New Roman" w:cs="Times New Roman"/>
          <w:sz w:val="28"/>
          <w:szCs w:val="28"/>
        </w:rPr>
        <w:t xml:space="preserve">Тобто адміністративно-побутові (офісні) приміщення не підпадають під дію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 xml:space="preserve">. «є»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 xml:space="preserve">. 266.2.2 п. 266.2 ст. 266 ПКУ. </w:t>
      </w:r>
    </w:p>
    <w:p w:rsidR="008871AC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1FF9">
        <w:rPr>
          <w:rFonts w:ascii="Times New Roman" w:hAnsi="Times New Roman" w:cs="Times New Roman"/>
          <w:sz w:val="28"/>
          <w:szCs w:val="28"/>
        </w:rPr>
        <w:t>     </w:t>
      </w:r>
      <w:r w:rsid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Враховуючи зазначене, будівлі що використовуються як адміністративно-побутові, для конторських та адміністративних цілей (офісні), в тому числі для промислових підприємств, є об’єктом оподаткування податком на нерухоме майно, відмінне від земельної ділянки, з врахуванням рішень сільських, селищних, міських рад та рад об’єднаних територіальних громад, що створені згідно із законом та перспективним планом формування територій громад.</w:t>
      </w:r>
      <w:r w:rsidRPr="00F61FF9">
        <w:rPr>
          <w:rFonts w:ascii="Times New Roman" w:hAnsi="Times New Roman" w:cs="Times New Roman"/>
          <w:sz w:val="28"/>
          <w:szCs w:val="28"/>
        </w:rPr>
        <w:br/>
        <w:t>     Водночас, визначення належності об’єкта нежитлової нерухомості (будівлі, приміщення) до того чи іншого класу будівель проводиться на підставі документів, що підтверджують їх право власності з врахуванням класифікаційних ознак та функціонального призначення такого об’єкта нерухомості згідно з Класифікатором, ведення якого здійснює Державний науково-дослідний інститут автоматизованих систем у будівництві Міністерства розвитку громад та територій України.</w:t>
      </w: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Pr="00F6197E" w:rsidRDefault="00E55F11" w:rsidP="00E55F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F11" w:rsidRPr="00F7686B" w:rsidRDefault="00E55F11" w:rsidP="00E55F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                                      </w:t>
      </w:r>
      <w:r w:rsidRPr="00F7686B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7686B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E55F11" w:rsidRPr="00F7686B" w:rsidRDefault="00E55F11" w:rsidP="00E55F11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.(0472) 33-91-34                                                                                                                 </w:t>
      </w:r>
      <w:hyperlink r:id="rId7" w:history="1">
        <w:r w:rsidRPr="00F7686B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55F11" w:rsidRP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5F11" w:rsidRPr="00E55F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F9"/>
    <w:rsid w:val="001E1EBE"/>
    <w:rsid w:val="002361E3"/>
    <w:rsid w:val="003C4B07"/>
    <w:rsid w:val="008871AC"/>
    <w:rsid w:val="00D50BEF"/>
    <w:rsid w:val="00E55F11"/>
    <w:rsid w:val="00F6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F1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5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F1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5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2021-08-11T09:19:00Z</cp:lastPrinted>
  <dcterms:created xsi:type="dcterms:W3CDTF">2021-08-12T13:35:00Z</dcterms:created>
  <dcterms:modified xsi:type="dcterms:W3CDTF">2021-08-13T05:54:00Z</dcterms:modified>
</cp:coreProperties>
</file>