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42C" w:rsidRDefault="00C6408B" w:rsidP="00F8242C">
      <w:pPr>
        <w:spacing w:after="0"/>
      </w:pPr>
      <w:r w:rsidRPr="00C6408B">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F8242C">
        <w:rPr>
          <w:noProof/>
          <w:lang w:val="ru-RU"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937AD5" w:rsidRDefault="00937AD5" w:rsidP="00937AD5">
      <w:pPr>
        <w:spacing w:line="240" w:lineRule="auto"/>
        <w:jc w:val="both"/>
        <w:rPr>
          <w:rFonts w:ascii="Times New Roman" w:hAnsi="Times New Roman" w:cs="Times New Roman"/>
          <w:sz w:val="28"/>
          <w:szCs w:val="28"/>
          <w:lang w:val="en-US"/>
        </w:rPr>
      </w:pPr>
    </w:p>
    <w:p w:rsidR="00937AD5" w:rsidRPr="00F8242C" w:rsidRDefault="00F8242C" w:rsidP="00F8242C">
      <w:pPr>
        <w:spacing w:line="240" w:lineRule="auto"/>
        <w:jc w:val="center"/>
        <w:rPr>
          <w:rFonts w:ascii="Times New Roman" w:hAnsi="Times New Roman" w:cs="Times New Roman"/>
          <w:b/>
          <w:sz w:val="28"/>
          <w:szCs w:val="28"/>
          <w:lang w:val="ru-RU"/>
        </w:rPr>
      </w:pPr>
      <w:r w:rsidRPr="00F8242C">
        <w:rPr>
          <w:rFonts w:ascii="Times New Roman" w:hAnsi="Times New Roman" w:cs="Times New Roman"/>
          <w:b/>
          <w:sz w:val="28"/>
          <w:szCs w:val="28"/>
        </w:rPr>
        <w:t>А</w:t>
      </w:r>
      <w:r w:rsidR="00937AD5" w:rsidRPr="00F8242C">
        <w:rPr>
          <w:rFonts w:ascii="Times New Roman" w:hAnsi="Times New Roman" w:cs="Times New Roman"/>
          <w:b/>
          <w:sz w:val="28"/>
          <w:szCs w:val="28"/>
        </w:rPr>
        <w:t xml:space="preserve">ктиви </w:t>
      </w:r>
      <w:r w:rsidRPr="00F8242C">
        <w:rPr>
          <w:rFonts w:ascii="Times New Roman" w:hAnsi="Times New Roman" w:cs="Times New Roman"/>
          <w:b/>
          <w:sz w:val="28"/>
          <w:szCs w:val="28"/>
        </w:rPr>
        <w:t xml:space="preserve">які </w:t>
      </w:r>
      <w:r w:rsidR="00937AD5" w:rsidRPr="00F8242C">
        <w:rPr>
          <w:rFonts w:ascii="Times New Roman" w:hAnsi="Times New Roman" w:cs="Times New Roman"/>
          <w:b/>
          <w:sz w:val="28"/>
          <w:szCs w:val="28"/>
        </w:rPr>
        <w:t>підлягають одноразовому (спеціальному) декларуванню</w:t>
      </w:r>
    </w:p>
    <w:p w:rsidR="00937AD5" w:rsidRP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Актив</w:t>
      </w:r>
      <w:r>
        <w:rPr>
          <w:rFonts w:ascii="Times New Roman" w:hAnsi="Times New Roman" w:cs="Times New Roman"/>
          <w:sz w:val="28"/>
          <w:szCs w:val="28"/>
        </w:rPr>
        <w:t>и фізичної особи-декларанта, я</w:t>
      </w:r>
      <w:r w:rsidRPr="00937AD5">
        <w:rPr>
          <w:rFonts w:ascii="Times New Roman" w:hAnsi="Times New Roman" w:cs="Times New Roman"/>
          <w:sz w:val="28"/>
          <w:szCs w:val="28"/>
        </w:rPr>
        <w:t xml:space="preserve">кі </w:t>
      </w:r>
      <w:r>
        <w:rPr>
          <w:rFonts w:ascii="Times New Roman" w:hAnsi="Times New Roman" w:cs="Times New Roman"/>
          <w:sz w:val="28"/>
          <w:szCs w:val="28"/>
        </w:rPr>
        <w:t xml:space="preserve">підлягають одноразовому </w:t>
      </w:r>
      <w:r w:rsidRPr="00937AD5">
        <w:rPr>
          <w:rFonts w:ascii="Times New Roman" w:hAnsi="Times New Roman" w:cs="Times New Roman"/>
          <w:sz w:val="28"/>
          <w:szCs w:val="28"/>
        </w:rPr>
        <w:t>(спеціальному) декларуванню</w:t>
      </w:r>
      <w:r w:rsidR="00F8242C">
        <w:rPr>
          <w:rFonts w:ascii="Times New Roman" w:hAnsi="Times New Roman" w:cs="Times New Roman"/>
          <w:sz w:val="28"/>
          <w:szCs w:val="28"/>
        </w:rPr>
        <w:t>, згідно Податковому к</w:t>
      </w:r>
      <w:r w:rsidRPr="00937AD5">
        <w:rPr>
          <w:rFonts w:ascii="Times New Roman" w:hAnsi="Times New Roman" w:cs="Times New Roman"/>
          <w:sz w:val="28"/>
          <w:szCs w:val="28"/>
        </w:rPr>
        <w:t>одексу</w:t>
      </w:r>
      <w:r w:rsidR="00F8242C">
        <w:rPr>
          <w:rFonts w:ascii="Times New Roman" w:hAnsi="Times New Roman" w:cs="Times New Roman"/>
          <w:sz w:val="28"/>
          <w:szCs w:val="28"/>
        </w:rPr>
        <w:t xml:space="preserve"> України</w:t>
      </w:r>
      <w:r w:rsidRPr="00937AD5">
        <w:rPr>
          <w:rFonts w:ascii="Times New Roman" w:hAnsi="Times New Roman" w:cs="Times New Roman"/>
          <w:sz w:val="28"/>
          <w:szCs w:val="28"/>
        </w:rPr>
        <w:t xml:space="preserve"> – це грошов</w:t>
      </w:r>
      <w:r>
        <w:rPr>
          <w:rFonts w:ascii="Times New Roman" w:hAnsi="Times New Roman" w:cs="Times New Roman"/>
          <w:sz w:val="28"/>
          <w:szCs w:val="28"/>
        </w:rPr>
        <w:t xml:space="preserve">і активи, майно, майнові права. </w:t>
      </w:r>
      <w:r w:rsidRPr="00937AD5">
        <w:rPr>
          <w:rFonts w:ascii="Times New Roman" w:hAnsi="Times New Roman" w:cs="Times New Roman"/>
          <w:sz w:val="28"/>
          <w:szCs w:val="28"/>
        </w:rPr>
        <w:t xml:space="preserve">Слід зазначити, що термін «майно» в Кодексі застосовується у широкому значенні, наведеному в Цивільному кодексі України, згідно із яким майном як особливим об'єктом вважають окрему річ, сукупність речей, а також майнові права та обов'язки. </w:t>
      </w:r>
    </w:p>
    <w:p w:rsidR="00937AD5" w:rsidRPr="00937AD5"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Таким чином, спеціальному декларуванню підлягають будь-які активи фізичної особи</w:t>
      </w:r>
      <w:r w:rsidRPr="00963E4E">
        <w:rPr>
          <w:rFonts w:ascii="Times New Roman" w:hAnsi="Times New Roman" w:cs="Times New Roman"/>
          <w:sz w:val="28"/>
          <w:szCs w:val="28"/>
        </w:rPr>
        <w:t xml:space="preserve"> </w:t>
      </w:r>
      <w:r w:rsidRPr="00937AD5">
        <w:rPr>
          <w:rFonts w:ascii="Times New Roman" w:hAnsi="Times New Roman" w:cs="Times New Roman"/>
          <w:sz w:val="28"/>
          <w:szCs w:val="28"/>
        </w:rPr>
        <w:t xml:space="preserve">декларанта, які були одержані (набуті) нею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мали місце до 1 січня 2021 року. </w:t>
      </w:r>
      <w:r w:rsidRPr="00937AD5">
        <w:rPr>
          <w:rFonts w:ascii="Times New Roman" w:hAnsi="Times New Roman" w:cs="Times New Roman"/>
          <w:sz w:val="28"/>
          <w:szCs w:val="28"/>
          <w:lang w:val="ru-RU"/>
        </w:rPr>
        <w:t xml:space="preserve"> </w:t>
      </w:r>
    </w:p>
    <w:p w:rsidR="00963E4E" w:rsidRDefault="00963E4E" w:rsidP="00F8242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937AD5" w:rsidRPr="00937AD5">
        <w:rPr>
          <w:rFonts w:ascii="Times New Roman" w:hAnsi="Times New Roman" w:cs="Times New Roman"/>
          <w:sz w:val="28"/>
          <w:szCs w:val="28"/>
        </w:rPr>
        <w:t>ерелік таких активів:</w:t>
      </w:r>
    </w:p>
    <w:p w:rsid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 а) валютні цінності (банківські метали, крім тих, що не розміщені на рахунках, національна валюта (гривня) та іноземна валюта, крім коштів у готівковій формі, та права грошової вимоги (у тому числі депозит (вклад), кошти, позичені третім особам за договором позики), оформлені у письмовій формі з юридичною особою або нотаріально посвідчені у разі виникнення права вимоги декларанта до іншої фізичної особи; </w:t>
      </w:r>
    </w:p>
    <w:p w:rsid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б) нерухоме майно (земельні ділянки, об'єкти житлової і нежитлової нерухомості);</w:t>
      </w:r>
    </w:p>
    <w:p w:rsidR="00937AD5" w:rsidRP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в) рухоме майно, у тому числі:</w:t>
      </w:r>
    </w:p>
    <w:p w:rsidR="00937AD5" w:rsidRPr="009D35F1"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транспортні засоби та інші самохідні машини і механізми;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інше цінне рухоме майно (предмети мистецтва та антикваріату, дорогоцінні метали, дорогоцінне каміння, ювелірні вироби тощо);</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 xml:space="preserve"> г) частки (паї) у майні юридичних осіб або в утвореннях без статусу юридичної особи, інші корпоративні права, майнові права на об'єкти інтелектуальної власності;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ґ) цінні папери та/або фінансові інструменти, визначені законом;</w:t>
      </w:r>
    </w:p>
    <w:p w:rsidR="00937AD5" w:rsidRPr="009D35F1"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 д) права на отримання дивідендів, процентів чи іншої аналогічної майнової вигоди, не пов'язані із правом власності на цінні папери, частки (паї) у майні юридичних осіб та/або в утвореннях без статусу юридичної особи;</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 xml:space="preserve"> е) інші активи фізичної особи, у тому числі майно, банківські метали, що не розміщені на рахунках, пам’ятні банкноти та монети, майнові права, що належать декларанту або з яких декларант отримує чи має право отримувати </w:t>
      </w:r>
      <w:r w:rsidRPr="00937AD5">
        <w:rPr>
          <w:rFonts w:ascii="Times New Roman" w:hAnsi="Times New Roman" w:cs="Times New Roman"/>
          <w:sz w:val="28"/>
          <w:szCs w:val="28"/>
        </w:rPr>
        <w:lastRenderedPageBreak/>
        <w:t xml:space="preserve">доходи на підставі договору про управління майном чи іншого аналогічного правочину та не сплачує власнику такого майна частину належного власнику доходу. </w:t>
      </w:r>
    </w:p>
    <w:p w:rsid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Всі зазначені активи вважаються об’єктами одноразового (спеціального) добровільного декларування (далі – об’єкти декларування).</w:t>
      </w:r>
    </w:p>
    <w:p w:rsidR="00937AD5" w:rsidRP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Передбачається, що вони належать фізичній особі-декларанту на праві власності (в тому числі на праві спільної часткової або на праві спільної сумісної власності) і знаходяться (зареєстровані, перебувають в обігу, є на обліку тощо) на території України та/або за її межами станом на дату подання одноразової (спеціальної) добровільної декларації. </w:t>
      </w:r>
    </w:p>
    <w:p w:rsidR="00937AD5" w:rsidRPr="00963E4E"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Тобто декларується актуальний майновий стан фізичної особи-декларанта, а не «історія» набуття</w:t>
      </w:r>
      <w:r w:rsidR="00963E4E">
        <w:rPr>
          <w:rFonts w:ascii="Times New Roman" w:hAnsi="Times New Roman" w:cs="Times New Roman"/>
          <w:sz w:val="28"/>
          <w:szCs w:val="28"/>
        </w:rPr>
        <w:t xml:space="preserve"> </w:t>
      </w:r>
      <w:r w:rsidRPr="00937AD5">
        <w:rPr>
          <w:rFonts w:ascii="Times New Roman" w:hAnsi="Times New Roman" w:cs="Times New Roman"/>
          <w:sz w:val="28"/>
          <w:szCs w:val="28"/>
        </w:rPr>
        <w:t xml:space="preserve">нею активів.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 xml:space="preserve">Скажімо, якщо об'єкт нерухомості було придбано за рахунок доходів, з яких не були сплачені податки у 2018 році та згодом продано за грошові кошти у 2019-му році, то декларуванню підлягає сума грошових коштів, що залишилася від продажу такого активу станом на дату подання одноразової (спеціальної декларації), незалежно від того де ці кошти фізично зберігаються на рахунках в банках – в Україні чи за кордоном.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Разом з тим, якщо виявиться, що до подання одноразової (спеціальної декларації) такі кошти перебувають у готівковій формі будь-де – їх можна буде задекларувати лише попередньо зарахувавши на банківський рахунок, де вони мають обліковуватися на дату подання декларації.</w:t>
      </w:r>
    </w:p>
    <w:p w:rsidR="00937AD5" w:rsidRPr="00937AD5"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Норми, запроваджені Законом № 1539, містять застереження про те, що подання одноразової (спеціальної) добровільної декларації не є окремим спеціальним порядком офіційного визнання або підтвердження державою фактів виникнення, переходу або припинення прав на активи, щодо яких подається така одноразова (спеціальна) добровільна декларація. Відповідно, такі юридичні факти та обставини регулюються іншим законодавством України (цивільним, господарським тощо).</w:t>
      </w:r>
    </w:p>
    <w:p w:rsidR="00937AD5" w:rsidRPr="00937AD5" w:rsidRDefault="00937AD5" w:rsidP="00F8242C">
      <w:pPr>
        <w:spacing w:after="0" w:line="240" w:lineRule="auto"/>
        <w:ind w:firstLine="567"/>
        <w:jc w:val="both"/>
        <w:rPr>
          <w:rFonts w:ascii="Times New Roman" w:hAnsi="Times New Roman" w:cs="Times New Roman"/>
          <w:sz w:val="28"/>
          <w:szCs w:val="28"/>
          <w:lang w:val="ru-RU"/>
        </w:rPr>
      </w:pPr>
    </w:p>
    <w:p w:rsidR="00937AD5" w:rsidRDefault="00937AD5"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lang w:val="en-US"/>
        </w:rPr>
      </w:pPr>
      <w:bookmarkStart w:id="0" w:name="_GoBack"/>
      <w:bookmarkEnd w:id="0"/>
    </w:p>
    <w:p w:rsidR="009D35F1" w:rsidRPr="009D35F1" w:rsidRDefault="009D35F1" w:rsidP="00937AD5">
      <w:pPr>
        <w:spacing w:line="240" w:lineRule="auto"/>
        <w:jc w:val="both"/>
        <w:rPr>
          <w:rFonts w:ascii="Times New Roman" w:hAnsi="Times New Roman" w:cs="Times New Roman"/>
          <w:sz w:val="28"/>
          <w:szCs w:val="28"/>
          <w:lang w:val="en-US"/>
        </w:rPr>
      </w:pPr>
    </w:p>
    <w:p w:rsidR="00F8242C" w:rsidRPr="00D07571" w:rsidRDefault="00F8242C" w:rsidP="00F8242C">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ua</w:t>
        </w:r>
      </w:hyperlink>
    </w:p>
    <w:p w:rsidR="00F8242C" w:rsidRDefault="00F8242C" w:rsidP="009D35F1">
      <w:pPr>
        <w:spacing w:after="0"/>
        <w:rPr>
          <w:rFonts w:ascii="Times New Roman" w:hAnsi="Times New Roman" w:cs="Times New Roman"/>
          <w:sz w:val="28"/>
          <w:szCs w:val="28"/>
        </w:rPr>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6" w:history="1">
        <w:r w:rsidRPr="00A9309E">
          <w:rPr>
            <w:rStyle w:val="a5"/>
            <w:rFonts w:ascii="Times New Roman" w:eastAsia="Calibri" w:hAnsi="Times New Roman" w:cs="Times New Roman"/>
            <w:sz w:val="20"/>
            <w:szCs w:val="20"/>
            <w:lang w:eastAsia="ru-RU"/>
          </w:rPr>
          <w:t>https://ck.tax.gov.ua/</w:t>
        </w:r>
      </w:hyperlink>
    </w:p>
    <w:sectPr w:rsidR="00F8242C" w:rsidSect="00C6408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7AD5"/>
    <w:rsid w:val="006D68EA"/>
    <w:rsid w:val="00937AD5"/>
    <w:rsid w:val="00963E4E"/>
    <w:rsid w:val="009D35F1"/>
    <w:rsid w:val="00C6408B"/>
    <w:rsid w:val="00F824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0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716</Words>
  <Characters>4087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2</cp:revision>
  <dcterms:created xsi:type="dcterms:W3CDTF">2021-08-11T06:27:00Z</dcterms:created>
  <dcterms:modified xsi:type="dcterms:W3CDTF">2021-08-11T09:25:00Z</dcterms:modified>
</cp:coreProperties>
</file>