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0731" w:rsidRDefault="00A24A21" w:rsidP="0097221F">
      <w:pPr>
        <w:spacing w:after="0"/>
        <w:rPr>
          <w:lang w:val="uk-UA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margin-left:149.7pt;margin-top:7.05pt;width:287.25pt;height:69.65pt;z-index:251659264;visibility:visible;mso-wrap-distance-left:9pt;mso-wrap-distance-top:0;mso-wrap-distance-right:9pt;mso-wrap-distance-bottom:0;mso-position-horizontal:absolute;mso-position-horizontal-relative:text;mso-position-vertical:absolute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" filled="f" stroked="f">
            <v:textbox>
              <w:txbxContent>
                <w:p w:rsidR="000A7DA7" w:rsidRPr="000A7DA7" w:rsidRDefault="000A7DA7" w:rsidP="00D07571">
                  <w:pPr>
                    <w:spacing w:after="0"/>
                    <w:rPr>
                      <w:rFonts w:ascii="Times New Roman" w:hAnsi="Times New Roman" w:cs="Times New Roman"/>
                      <w:sz w:val="32"/>
                      <w:szCs w:val="32"/>
                      <w:lang w:val="uk-UA"/>
                    </w:rPr>
                  </w:pPr>
                  <w:r w:rsidRPr="00E7256A">
                    <w:rPr>
                      <w:rFonts w:ascii="Times New Roman" w:hAnsi="Times New Roman" w:cs="Times New Roman"/>
                      <w:sz w:val="32"/>
                      <w:szCs w:val="32"/>
                    </w:rPr>
                    <w:t>Державна податкова служба України</w:t>
                  </w:r>
                </w:p>
                <w:p w:rsidR="00D07571" w:rsidRPr="00D07571" w:rsidRDefault="00D07571" w:rsidP="00D07571">
                  <w:pPr>
                    <w:spacing w:after="0"/>
                    <w:rPr>
                      <w:rFonts w:ascii="Times New Roman" w:hAnsi="Times New Roman" w:cs="Times New Roman"/>
                      <w:sz w:val="32"/>
                      <w:szCs w:val="32"/>
                      <w:lang w:val="uk-UA"/>
                    </w:rPr>
                  </w:pPr>
                  <w:r w:rsidRPr="00D07571">
                    <w:rPr>
                      <w:rFonts w:ascii="Times New Roman" w:hAnsi="Times New Roman" w:cs="Times New Roman"/>
                      <w:sz w:val="32"/>
                      <w:szCs w:val="32"/>
                      <w:lang w:val="uk-UA"/>
                    </w:rPr>
                    <w:t xml:space="preserve">Головне управління </w:t>
                  </w:r>
                </w:p>
                <w:p w:rsidR="002209F3" w:rsidRPr="00D07571" w:rsidRDefault="00D07571" w:rsidP="00D07571">
                  <w:pPr>
                    <w:spacing w:after="0"/>
                    <w:rPr>
                      <w:rFonts w:ascii="Times New Roman" w:hAnsi="Times New Roman" w:cs="Times New Roman"/>
                      <w:sz w:val="32"/>
                      <w:szCs w:val="32"/>
                      <w:lang w:val="uk-UA"/>
                    </w:rPr>
                  </w:pPr>
                  <w:r w:rsidRPr="00D07571">
                    <w:rPr>
                      <w:rFonts w:ascii="Times New Roman" w:hAnsi="Times New Roman" w:cs="Times New Roman"/>
                      <w:sz w:val="32"/>
                      <w:szCs w:val="32"/>
                      <w:lang w:val="uk-UA"/>
                    </w:rPr>
                    <w:t>ДПС у Черкаській області</w:t>
                  </w:r>
                </w:p>
              </w:txbxContent>
            </v:textbox>
          </v:shape>
        </w:pict>
      </w:r>
      <w:r w:rsidR="00BA12B7">
        <w:rPr>
          <w:noProof/>
          <w:lang w:eastAsia="ru-RU"/>
        </w:rPr>
        <w:drawing>
          <wp:inline distT="0" distB="0" distL="0" distR="0">
            <wp:extent cx="1882530" cy="942975"/>
            <wp:effectExtent l="0" t="0" r="381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ез имени-1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84943" cy="9441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41F81" w:rsidRDefault="00D41F81" w:rsidP="00D41F81">
      <w:pPr>
        <w:rPr>
          <w:rFonts w:ascii="Times New Roman" w:eastAsia="Calibri" w:hAnsi="Times New Roman" w:cs="Times New Roman"/>
          <w:sz w:val="28"/>
          <w:szCs w:val="28"/>
          <w:lang w:val="en-US"/>
        </w:rPr>
      </w:pPr>
    </w:p>
    <w:p w:rsidR="00D03B1C" w:rsidRPr="00CE3C24" w:rsidRDefault="00D03B1C" w:rsidP="00D03B1C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225829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Як </w:t>
      </w:r>
      <w:proofErr w:type="spellStart"/>
      <w:r w:rsidRPr="00225829">
        <w:rPr>
          <w:rFonts w:ascii="Times New Roman" w:eastAsia="Calibri" w:hAnsi="Times New Roman" w:cs="Times New Roman"/>
          <w:b/>
          <w:sz w:val="28"/>
          <w:szCs w:val="28"/>
          <w:lang w:val="uk-UA"/>
        </w:rPr>
        <w:t>погашуються</w:t>
      </w:r>
      <w:proofErr w:type="spellEnd"/>
      <w:r w:rsidRPr="00225829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грошові зобов’язання (податковий борг) у разі реорганізації платника податків та чи є підстави для зупинення або відстрочення стягнення податкового боргу?</w:t>
      </w:r>
      <w:bookmarkStart w:id="0" w:name="_GoBack"/>
      <w:bookmarkEnd w:id="0"/>
    </w:p>
    <w:p w:rsidR="00D03B1C" w:rsidRPr="00CE3C24" w:rsidRDefault="00D03B1C" w:rsidP="00D03B1C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03B1C" w:rsidRPr="00D03B1C" w:rsidRDefault="00D03B1C" w:rsidP="00D03B1C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03B1C" w:rsidRPr="00D03B1C" w:rsidRDefault="00D03B1C" w:rsidP="00D03B1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D03B1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Порядок погашення грошових зобов’язань або податкового боргу у разі реорганізації платника податків визначено ст. 98 Податкового кодексу України та р. V Порядку розстрочення (відстрочення) грошових зобов’язань (податкового боргу) платників податків, затвердженого наказом Міністерства доходів і зборів України. </w:t>
      </w:r>
    </w:p>
    <w:p w:rsidR="00D03B1C" w:rsidRPr="00D03B1C" w:rsidRDefault="00D03B1C" w:rsidP="00D03B1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D03B1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Нормами ст. 98 ПКУ від 02 грудня 2010 року № 2755-VI зі змінами та доповненнями визначено порядок погашення грошових зобов’язань або податкового боргу у разі реорганізації платника податків. Так, відповідно до п. 98.2 ст. 98 ПКУ у разі якщо власник платника податків або уповноважений ним орган приймає рішення про реорганізацію такого платника податків, грошові зобов’язання чи податковий борг підлягає врегулюванню в такому порядку: </w:t>
      </w:r>
    </w:p>
    <w:p w:rsidR="00D03B1C" w:rsidRPr="00D03B1C" w:rsidRDefault="00D03B1C" w:rsidP="00D03B1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D03B1C">
        <w:rPr>
          <w:rFonts w:ascii="Times New Roman" w:eastAsia="Calibri" w:hAnsi="Times New Roman" w:cs="Times New Roman"/>
          <w:sz w:val="28"/>
          <w:szCs w:val="28"/>
          <w:lang w:val="uk-UA"/>
        </w:rPr>
        <w:t>- якщо реорганізація здійснюється шляхом зміни найменування, організаційно-правового статусу або місця реєстрації платника податків, після реорганізації він набуває усіх прав і обов’язків щодо погашення грошових зобов’язань чи податкового боргу, які виникли до його реорганізації (</w:t>
      </w:r>
      <w:proofErr w:type="spellStart"/>
      <w:r w:rsidRPr="00D03B1C">
        <w:rPr>
          <w:rFonts w:ascii="Times New Roman" w:eastAsia="Calibri" w:hAnsi="Times New Roman" w:cs="Times New Roman"/>
          <w:sz w:val="28"/>
          <w:szCs w:val="28"/>
          <w:lang w:val="uk-UA"/>
        </w:rPr>
        <w:t>п.п</w:t>
      </w:r>
      <w:proofErr w:type="spellEnd"/>
      <w:r w:rsidRPr="00D03B1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. 98.2.1 п. 98.2 ст. 98 ПКУ);  </w:t>
      </w:r>
    </w:p>
    <w:p w:rsidR="00D03B1C" w:rsidRPr="00D03B1C" w:rsidRDefault="00D03B1C" w:rsidP="00D03B1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D03B1C">
        <w:rPr>
          <w:rFonts w:ascii="Times New Roman" w:eastAsia="Calibri" w:hAnsi="Times New Roman" w:cs="Times New Roman"/>
          <w:sz w:val="28"/>
          <w:szCs w:val="28"/>
          <w:lang w:val="uk-UA"/>
        </w:rPr>
        <w:t>- якщо реорганізація здійснюється шляхом об’єднання двох або більше платників податків в одного платника податків з ліквідацією платників податків, що об’єдналися, об’єднаний платник податків набуває усіх прав і обов’язків щодо погашення грошових зобов’язань чи податкового боргу всіх платників податків, що об’єдналися (</w:t>
      </w:r>
      <w:proofErr w:type="spellStart"/>
      <w:r w:rsidRPr="00D03B1C">
        <w:rPr>
          <w:rFonts w:ascii="Times New Roman" w:eastAsia="Calibri" w:hAnsi="Times New Roman" w:cs="Times New Roman"/>
          <w:sz w:val="28"/>
          <w:szCs w:val="28"/>
          <w:lang w:val="uk-UA"/>
        </w:rPr>
        <w:t>п.п</w:t>
      </w:r>
      <w:proofErr w:type="spellEnd"/>
      <w:r w:rsidRPr="00D03B1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. 98.2.2 п. 98.2 ст. 98 ПКУ); </w:t>
      </w:r>
    </w:p>
    <w:p w:rsidR="00D03B1C" w:rsidRPr="00D03B1C" w:rsidRDefault="00D03B1C" w:rsidP="00D03B1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D03B1C">
        <w:rPr>
          <w:rFonts w:ascii="Times New Roman" w:eastAsia="Calibri" w:hAnsi="Times New Roman" w:cs="Times New Roman"/>
          <w:sz w:val="28"/>
          <w:szCs w:val="28"/>
          <w:lang w:val="uk-UA"/>
        </w:rPr>
        <w:t>- якщо реорганізація здійснюється шляхом поділу платника податків на дві або більше особи з ліквідацією такого платника податків, що розподіляється, усі платники податків, які виникнуть після такої реорганізації, набувають усіх прав і обов’язків щодо погашення грошових зобов’язань чи податкового боргу, який виник до такої реорганізації (</w:t>
      </w:r>
      <w:proofErr w:type="spellStart"/>
      <w:r w:rsidRPr="00D03B1C">
        <w:rPr>
          <w:rFonts w:ascii="Times New Roman" w:eastAsia="Calibri" w:hAnsi="Times New Roman" w:cs="Times New Roman"/>
          <w:sz w:val="28"/>
          <w:szCs w:val="28"/>
          <w:lang w:val="uk-UA"/>
        </w:rPr>
        <w:t>п.п</w:t>
      </w:r>
      <w:proofErr w:type="spellEnd"/>
      <w:r w:rsidRPr="00D03B1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. 98.2.3 п. 98.2 ст. 98 ПКУ); </w:t>
      </w:r>
    </w:p>
    <w:p w:rsidR="00D03B1C" w:rsidRPr="00D03B1C" w:rsidRDefault="00D03B1C" w:rsidP="00D03B1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D03B1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- у разі передачі в оренду чи концесію цілісного майнового комплексу державного або комунального підприємства платник податків – орендар чи концесіонер після прийняття цілісного майнового комплексу державного або комунального підприємства в оренду чи концесію набуває усіх прав і обов’язків щодо погашення грошових зобов’язань чи податкового боргу, які виникли у </w:t>
      </w:r>
      <w:r w:rsidRPr="00D03B1C">
        <w:rPr>
          <w:rFonts w:ascii="Times New Roman" w:eastAsia="Calibri" w:hAnsi="Times New Roman" w:cs="Times New Roman"/>
          <w:sz w:val="28"/>
          <w:szCs w:val="28"/>
          <w:lang w:val="uk-UA"/>
        </w:rPr>
        <w:lastRenderedPageBreak/>
        <w:t>державного або комунального підприємства до передачі цілісного майнового комплексу в оренду чи концесію (</w:t>
      </w:r>
      <w:proofErr w:type="spellStart"/>
      <w:r w:rsidRPr="00D03B1C">
        <w:rPr>
          <w:rFonts w:ascii="Times New Roman" w:eastAsia="Calibri" w:hAnsi="Times New Roman" w:cs="Times New Roman"/>
          <w:sz w:val="28"/>
          <w:szCs w:val="28"/>
          <w:lang w:val="uk-UA"/>
        </w:rPr>
        <w:t>п.п</w:t>
      </w:r>
      <w:proofErr w:type="spellEnd"/>
      <w:r w:rsidRPr="00D03B1C">
        <w:rPr>
          <w:rFonts w:ascii="Times New Roman" w:eastAsia="Calibri" w:hAnsi="Times New Roman" w:cs="Times New Roman"/>
          <w:sz w:val="28"/>
          <w:szCs w:val="28"/>
          <w:lang w:val="uk-UA"/>
        </w:rPr>
        <w:t>. 98.2.4 п. 98.2 ст. 98 ПКУ).</w:t>
      </w:r>
    </w:p>
    <w:p w:rsidR="00D03B1C" w:rsidRPr="00D03B1C" w:rsidRDefault="00D03B1C" w:rsidP="00D03B1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D03B1C">
        <w:rPr>
          <w:rFonts w:ascii="Times New Roman" w:eastAsia="Calibri" w:hAnsi="Times New Roman" w:cs="Times New Roman"/>
          <w:sz w:val="28"/>
          <w:szCs w:val="28"/>
          <w:lang w:val="uk-UA"/>
        </w:rPr>
        <w:t>Зазначені зобов’язання чи борг розподіляються між новоутвореними платниками податків пропорційно часткам балансової вартості майна, отриманого ними у процесі реорганізації згідно з розподільним балансом. У разі якщо одна чи більше новоутворених осіб не є платниками податків, щодо яких виникли грошові зобов’язання або борг платника податків, який був реорганізований, зазначені грошові зобов’язання чи податковий борг повністю розподіляються між особами, що є платниками таких податків, пропорційно часткам отриманого ними майна, без урахування майна, наданого особам, що не є платниками таких податків.</w:t>
      </w:r>
    </w:p>
    <w:p w:rsidR="00D03B1C" w:rsidRPr="00D03B1C" w:rsidRDefault="00D03B1C" w:rsidP="00D03B1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D03B1C">
        <w:rPr>
          <w:rFonts w:ascii="Times New Roman" w:eastAsia="Calibri" w:hAnsi="Times New Roman" w:cs="Times New Roman"/>
          <w:sz w:val="28"/>
          <w:szCs w:val="28"/>
          <w:lang w:val="uk-UA"/>
        </w:rPr>
        <w:t>Крім того, відповідно до п. 5.3 Порядку розстрочення (відстрочення) грошових зобов’язань (податкового боргу) платників податків, затвердженого наказом Міністерства доходів і зборів України від 10.10.2013 № 574 (далі - Порядок), при реорганізації платника податків, пов’язаній з утворенням нової юридичної особи, за платником, що реорганізується, зберігається право на отримане ним до такої реорганізації розстрочення (відстрочення) грошових зобов’язань (податкового боргу), у разі якщо до новоствореної юридичної особи переходять відповідні права та обов’язки платника, що реорганізується.</w:t>
      </w:r>
    </w:p>
    <w:p w:rsidR="00D03B1C" w:rsidRPr="00D03B1C" w:rsidRDefault="00D03B1C" w:rsidP="00D03B1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D03B1C">
        <w:rPr>
          <w:rFonts w:ascii="Times New Roman" w:eastAsia="Calibri" w:hAnsi="Times New Roman" w:cs="Times New Roman"/>
          <w:sz w:val="28"/>
          <w:szCs w:val="28"/>
          <w:lang w:val="uk-UA"/>
        </w:rPr>
        <w:t>При реорганізації платника, пов’язаній з утворенням нової юридичної особи, для відображення залишку розстрочення (відстрочення) в інформаційній системі новоствореної юридичної особи у чинних договорах за заявою платника змінюється сторона договору (вноситься нове найменування та інші реквізити) (п. 5.5 Порядку).</w:t>
      </w:r>
    </w:p>
    <w:p w:rsidR="00D41F81" w:rsidRPr="00225829" w:rsidRDefault="00D03B1C" w:rsidP="00D03B1C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03B1C">
        <w:rPr>
          <w:rFonts w:ascii="Times New Roman" w:eastAsia="Calibri" w:hAnsi="Times New Roman" w:cs="Times New Roman"/>
          <w:sz w:val="28"/>
          <w:szCs w:val="28"/>
          <w:lang w:val="uk-UA"/>
        </w:rPr>
        <w:t>Реорганізація платника податків не змінює строків погашення грошових зобов’язань або податкового боргу платниками податків, утвореними у результаті такої реорганізації (п. 98.7 ст. 98 ПКУ). Отже, виходячи з вимог        п. 98.7 ст. 98 ПКУ, підстави для зупинення або відстрочення стягнення податкового боргу платника податків, який реорганізується, відсутні</w:t>
      </w:r>
      <w:r w:rsidR="00225829" w:rsidRPr="00225829">
        <w:rPr>
          <w:rFonts w:ascii="Times New Roman" w:eastAsia="Calibri" w:hAnsi="Times New Roman" w:cs="Times New Roman"/>
          <w:sz w:val="28"/>
          <w:szCs w:val="28"/>
        </w:rPr>
        <w:t>.</w:t>
      </w:r>
    </w:p>
    <w:p w:rsidR="00D41F81" w:rsidRPr="00D03B1C" w:rsidRDefault="00D41F81" w:rsidP="00D03B1C">
      <w:pPr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41F81" w:rsidRPr="00D03B1C" w:rsidRDefault="00D41F81" w:rsidP="00D03B1C">
      <w:pPr>
        <w:rPr>
          <w:rFonts w:ascii="Times New Roman" w:eastAsia="Calibri" w:hAnsi="Times New Roman" w:cs="Times New Roman"/>
          <w:sz w:val="28"/>
          <w:szCs w:val="28"/>
        </w:rPr>
      </w:pPr>
    </w:p>
    <w:p w:rsidR="00D07571" w:rsidRDefault="00D07571">
      <w:pPr>
        <w:rPr>
          <w:lang w:val="uk-UA"/>
        </w:rPr>
      </w:pPr>
    </w:p>
    <w:p w:rsidR="00F231BF" w:rsidRDefault="00F231BF">
      <w:pPr>
        <w:rPr>
          <w:lang w:val="uk-UA"/>
        </w:rPr>
      </w:pPr>
    </w:p>
    <w:p w:rsidR="00F231BF" w:rsidRDefault="00F231BF">
      <w:pPr>
        <w:rPr>
          <w:lang w:val="uk-UA"/>
        </w:rPr>
      </w:pPr>
    </w:p>
    <w:p w:rsidR="00F231BF" w:rsidRPr="00CE3C24" w:rsidRDefault="00F231BF"/>
    <w:p w:rsidR="00CE3C24" w:rsidRPr="00CE3C24" w:rsidRDefault="00CE3C24"/>
    <w:p w:rsidR="00D07571" w:rsidRPr="00D07571" w:rsidRDefault="00D07571" w:rsidP="00D07571">
      <w:pPr>
        <w:spacing w:after="0"/>
        <w:rPr>
          <w:rFonts w:ascii="Times New Roman" w:eastAsia="Calibri" w:hAnsi="Times New Roman" w:cs="Times New Roman"/>
          <w:sz w:val="20"/>
          <w:szCs w:val="20"/>
          <w:lang w:val="uk-UA" w:eastAsia="ru-RU"/>
        </w:rPr>
      </w:pPr>
      <w:r w:rsidRPr="00D07571">
        <w:rPr>
          <w:rFonts w:ascii="Times New Roman" w:eastAsia="Calibri" w:hAnsi="Times New Roman" w:cs="Times New Roman"/>
          <w:sz w:val="20"/>
          <w:szCs w:val="20"/>
          <w:lang w:val="uk-UA" w:eastAsia="ru-RU"/>
        </w:rPr>
        <w:t>18002,</w:t>
      </w:r>
      <w:r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 </w:t>
      </w:r>
      <w:r w:rsidRPr="00D07571">
        <w:rPr>
          <w:rFonts w:ascii="Times New Roman" w:eastAsia="Calibri" w:hAnsi="Times New Roman" w:cs="Times New Roman"/>
          <w:sz w:val="20"/>
          <w:szCs w:val="20"/>
          <w:lang w:val="uk-UA" w:eastAsia="ru-RU"/>
        </w:rPr>
        <w:t>м. Черкаси,</w:t>
      </w:r>
      <w:r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 </w:t>
      </w:r>
      <w:r w:rsidRPr="00D07571">
        <w:rPr>
          <w:rFonts w:ascii="Times New Roman" w:eastAsia="Calibri" w:hAnsi="Times New Roman" w:cs="Times New Roman"/>
          <w:sz w:val="20"/>
          <w:szCs w:val="20"/>
          <w:lang w:val="uk-UA" w:eastAsia="ru-RU"/>
        </w:rPr>
        <w:t>вул. Хрещатик,235</w:t>
      </w:r>
      <w:r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                                           </w:t>
      </w:r>
      <w:r w:rsidRPr="00F231BF">
        <w:rPr>
          <w:rFonts w:ascii="Times New Roman" w:eastAsia="Calibri" w:hAnsi="Times New Roman" w:cs="Times New Roman"/>
          <w:sz w:val="20"/>
          <w:szCs w:val="20"/>
          <w:lang w:val="en-US" w:eastAsia="ru-RU"/>
        </w:rPr>
        <w:t>e</w:t>
      </w:r>
      <w:r w:rsidRPr="00D07571">
        <w:rPr>
          <w:rFonts w:ascii="Times New Roman" w:eastAsia="Calibri" w:hAnsi="Times New Roman" w:cs="Times New Roman"/>
          <w:sz w:val="20"/>
          <w:szCs w:val="20"/>
          <w:lang w:val="uk-UA" w:eastAsia="ru-RU"/>
        </w:rPr>
        <w:t>-</w:t>
      </w:r>
      <w:r w:rsidRPr="00F231BF">
        <w:rPr>
          <w:rFonts w:ascii="Times New Roman" w:eastAsia="Calibri" w:hAnsi="Times New Roman" w:cs="Times New Roman"/>
          <w:sz w:val="20"/>
          <w:szCs w:val="20"/>
          <w:lang w:val="en-US" w:eastAsia="ru-RU"/>
        </w:rPr>
        <w:t>mail</w:t>
      </w:r>
      <w:r w:rsidRPr="00D07571"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: </w:t>
      </w:r>
      <w:hyperlink r:id="rId5" w:history="1">
        <w:r w:rsidRPr="00F231BF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ck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uk-UA" w:eastAsia="ru-RU"/>
          </w:rPr>
          <w:t>.</w:t>
        </w:r>
        <w:r w:rsidRPr="00F231BF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zmi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uk-UA" w:eastAsia="ru-RU"/>
          </w:rPr>
          <w:t>@</w:t>
        </w:r>
        <w:r w:rsidRPr="00F231BF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tax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uk-UA" w:eastAsia="ru-RU"/>
          </w:rPr>
          <w:t>.</w:t>
        </w:r>
        <w:r w:rsidRPr="00F231BF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gov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uk-UA" w:eastAsia="ru-RU"/>
          </w:rPr>
          <w:t>.</w:t>
        </w:r>
        <w:r w:rsidRPr="00F231BF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ua</w:t>
        </w:r>
      </w:hyperlink>
    </w:p>
    <w:p w:rsidR="00A9309E" w:rsidRPr="00A9309E" w:rsidRDefault="00D07571" w:rsidP="00D07571">
      <w:pPr>
        <w:spacing w:after="0"/>
      </w:pPr>
      <w:r w:rsidRPr="00974D3D">
        <w:rPr>
          <w:rFonts w:ascii="Times New Roman" w:eastAsia="Calibri" w:hAnsi="Times New Roman" w:cs="Times New Roman"/>
          <w:sz w:val="20"/>
          <w:szCs w:val="20"/>
          <w:lang w:eastAsia="ru-RU"/>
        </w:rPr>
        <w:t>тел.(0472) 33-91-34</w:t>
      </w:r>
      <w:r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                                                                       </w:t>
      </w:r>
      <w:r w:rsidRPr="00A9309E"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    </w:t>
      </w:r>
      <w:hyperlink r:id="rId6" w:history="1">
        <w:r w:rsidR="00A9309E" w:rsidRPr="00A9309E">
          <w:rPr>
            <w:rStyle w:val="a5"/>
            <w:rFonts w:ascii="Times New Roman" w:eastAsia="Calibri" w:hAnsi="Times New Roman" w:cs="Times New Roman"/>
            <w:sz w:val="20"/>
            <w:szCs w:val="20"/>
            <w:lang w:val="uk-UA" w:eastAsia="ru-RU"/>
          </w:rPr>
          <w:t>https://ck.tax.gov.ua/</w:t>
        </w:r>
      </w:hyperlink>
    </w:p>
    <w:sectPr w:rsidR="00A9309E" w:rsidRPr="00A9309E" w:rsidSect="00F231B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compat/>
  <w:rsids>
    <w:rsidRoot w:val="00CD0DBB"/>
    <w:rsid w:val="000670E3"/>
    <w:rsid w:val="000A7DA7"/>
    <w:rsid w:val="002209F3"/>
    <w:rsid w:val="00225829"/>
    <w:rsid w:val="002A0731"/>
    <w:rsid w:val="0042694C"/>
    <w:rsid w:val="005504EF"/>
    <w:rsid w:val="0097221F"/>
    <w:rsid w:val="00A24A21"/>
    <w:rsid w:val="00A9309E"/>
    <w:rsid w:val="00BA12B7"/>
    <w:rsid w:val="00CD0DBB"/>
    <w:rsid w:val="00CE3C24"/>
    <w:rsid w:val="00D03B1C"/>
    <w:rsid w:val="00D07571"/>
    <w:rsid w:val="00D41F81"/>
    <w:rsid w:val="00E7256A"/>
    <w:rsid w:val="00F231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69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075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07571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9309E"/>
    <w:rPr>
      <w:color w:val="0000FF" w:themeColor="hyperlink"/>
      <w:u w:val="single"/>
    </w:rPr>
  </w:style>
  <w:style w:type="paragraph" w:styleId="a6">
    <w:name w:val="Normal (Web)"/>
    <w:basedOn w:val="a"/>
    <w:uiPriority w:val="99"/>
    <w:unhideWhenUsed/>
    <w:rsid w:val="00F231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textexposedshow">
    <w:name w:val="text_exposed_show"/>
    <w:basedOn w:val="a0"/>
    <w:rsid w:val="00F231BF"/>
  </w:style>
  <w:style w:type="character" w:styleId="a7">
    <w:name w:val="Strong"/>
    <w:basedOn w:val="a0"/>
    <w:uiPriority w:val="22"/>
    <w:qFormat/>
    <w:rsid w:val="00F231BF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871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ck.tax.gov.ua/" TargetMode="External"/><Relationship Id="rId5" Type="http://schemas.openxmlformats.org/officeDocument/2006/relationships/hyperlink" Target="mailto:ck.zmi@tax.gov.ua" TargetMode="External"/><Relationship Id="rId4" Type="http://schemas.openxmlformats.org/officeDocument/2006/relationships/image" Target="media/image1.png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692</Words>
  <Characters>3950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Imperia</dc:creator>
  <cp:lastModifiedBy>Perekopayko_NA</cp:lastModifiedBy>
  <cp:revision>14</cp:revision>
  <dcterms:created xsi:type="dcterms:W3CDTF">2021-05-25T12:16:00Z</dcterms:created>
  <dcterms:modified xsi:type="dcterms:W3CDTF">2021-08-25T08:55:00Z</dcterms:modified>
</cp:coreProperties>
</file>