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20"/>
        <w:gridCol w:w="60"/>
        <w:gridCol w:w="80"/>
        <w:gridCol w:w="20"/>
        <w:gridCol w:w="420"/>
        <w:gridCol w:w="20"/>
        <w:gridCol w:w="260"/>
        <w:gridCol w:w="20"/>
        <w:gridCol w:w="80"/>
        <w:gridCol w:w="20"/>
        <w:gridCol w:w="80"/>
        <w:gridCol w:w="40"/>
        <w:gridCol w:w="40"/>
        <w:gridCol w:w="20"/>
        <w:gridCol w:w="340"/>
        <w:gridCol w:w="180"/>
        <w:gridCol w:w="100"/>
        <w:gridCol w:w="20"/>
        <w:gridCol w:w="160"/>
        <w:gridCol w:w="20"/>
        <w:gridCol w:w="80"/>
        <w:gridCol w:w="80"/>
        <w:gridCol w:w="2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80"/>
        <w:gridCol w:w="20"/>
        <w:gridCol w:w="140"/>
        <w:gridCol w:w="280"/>
        <w:gridCol w:w="80"/>
        <w:gridCol w:w="20"/>
        <w:gridCol w:w="300"/>
        <w:gridCol w:w="80"/>
        <w:gridCol w:w="80"/>
        <w:gridCol w:w="20"/>
        <w:gridCol w:w="4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2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4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5960" w:type="dxa"/>
            <w:gridSpan w:val="1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0111020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1020</w:t>
            </w:r>
          </w:p>
        </w:tc>
        <w:tc>
          <w:tcPr>
            <w:tcW w:w="1760" w:type="dxa"/>
            <w:gridSpan w:val="1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0921</w:t>
            </w:r>
          </w:p>
        </w:tc>
        <w:tc>
          <w:tcPr>
            <w:tcW w:w="6520" w:type="dxa"/>
            <w:gridSpan w:val="6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both"/>
            </w:pPr>
            <w:r>
              <w:t>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AC5A99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760" w:type="dxa"/>
            <w:gridSpan w:val="1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6520" w:type="dxa"/>
            <w:gridSpan w:val="6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24BA8" w:rsidRDefault="00AC5A99">
            <w:pPr>
              <w:spacing w:after="200"/>
              <w:ind w:left="500"/>
            </w:pPr>
            <w:r>
              <w:t>Забезпечення надання послуг з повної загальної середньої освіти в денних закладах загальної середньої освіти</w:t>
            </w:r>
            <w:r>
              <w:br/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24BA8" w:rsidRDefault="00AC5A99">
            <w:pPr>
              <w:ind w:left="500"/>
            </w:pPr>
            <w:r>
              <w:t>Забезпечити надання відповідних послуг денними закладами загальної середньої освіти</w:t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24BA8" w:rsidRDefault="00AC5A99">
            <w:pPr>
              <w:ind w:left="500"/>
            </w:pPr>
            <w:r>
              <w:t>Конституція України, Бюджетний кодекс України, Закон України «Про освіту», Рішення Медведівської сільської ради від 21.01.2</w:t>
            </w:r>
            <w:r>
              <w:t>019 № 2 - 12/VІІ "Про бюджет Медведівської об’єднаної територіальної громади на 2019 рік", із змінами.</w:t>
            </w: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70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4 762 946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4 762 946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11 187 092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11 187 092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послуги, що надаються бюджетними установами згідно з їх основною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діяльністю </w:t>
            </w:r>
          </w:p>
        </w:tc>
        <w:tc>
          <w:tcPr>
            <w:tcW w:w="6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205330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Передача коштів із загального до спеціального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4 762 946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4 848 480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11 187 092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56 000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11 243 092</w:t>
            </w: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6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12 304 071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12 304 071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13 470 000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13 470 000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12 000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12 000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205330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Передача коштів із загального до спеціального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12 304 071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12 394 071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13 470 000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92 000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13 562 000</w:t>
            </w: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2 596 000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2 596 000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7 407 400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7 407 400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556 974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556 974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1 629 692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1 629 692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159 000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159 000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164 095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164 095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500 000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92 000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191 000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191 000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978 877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978 877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950 000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віднесені до заходів розвитку</w:t>
            </w: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4 762 946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4 848 480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11 187 092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11 237 092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B24BA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8 148 410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8 148 410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9 000 000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9 000 000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1 792 661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1 792 661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1 980 000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1 980 000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33 000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33 000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240 000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1 045 000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1 045 000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1 100 000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1 100 000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12 304 071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12 384 071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13 470 000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13 550 000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8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відповідних послуг денними закладами загальної середньої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4 762 946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4 848 480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11 187 092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11 237 092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4 762 946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85 534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4 848 480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11 187 092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11 237 092</w:t>
            </w: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відповідних послуг денними закладами загальної середньої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12 304 071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12 384 071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13 470 000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13 550 000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12 304 071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12 384 071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13 470 000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13 550 000</w:t>
            </w: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59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відповідних послуг денними закладами загальної середньої освіти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класів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осіб з числа дітей-сиріт та дітей, позбавлених батьківського піклування, яким буде виплачуватися одноразова грошова допомога при працевлаштуванні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розрахунково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18216,00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330,25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18546,25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43360,82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193,80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43554,62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294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відповідних послуг денними закладами загальної середньої освіти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75,45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класів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розрахунково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47323,35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307,69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47631,04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51807,69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307,69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52115,38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254,00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254,00</w:t>
            </w: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1408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1 942 700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5 813 400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6 379 010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7 062 100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1 251 400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3 970 400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4 231 000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4 685 000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64 100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40" w:type="dxa"/>
          </w:tcPr>
          <w:p w:rsidR="00B24BA8" w:rsidRDefault="00B24BA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24BA8" w:rsidRDefault="00B24BA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503 300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1 354 000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1 505 300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1 637 900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275 300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794 000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935 300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1 044 000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щорічна грошова допомога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228 000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280 000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285 000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296 950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280 000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285 000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296 950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2 596 000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7 407 400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8 148 410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9 000 000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Ставок педагогічного персоналу (в тому числі вихователів)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45,30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45,30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45,30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45,30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45,30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23,65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23,65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23,65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23,65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23,65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75,45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75,45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75,45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75,45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75,45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AC5A9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</w:t>
            </w:r>
            <w:r>
              <w:rPr>
                <w:sz w:val="16"/>
              </w:rPr>
              <w:t>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24BA8" w:rsidRDefault="00AC5A99">
            <w:pPr>
              <w:spacing w:after="200"/>
            </w:pPr>
            <w:r>
              <w:t>Поліпшення якості навчання.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B24BA8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0"/>
        </w:trPr>
        <w:tc>
          <w:tcPr>
            <w:tcW w:w="0" w:type="auto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3"/>
            <w:tcMar>
              <w:top w:w="8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4BA8" w:rsidRDefault="00AC5A9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rPr>
                <w:sz w:val="16"/>
              </w:rPr>
              <w:t>Вжиті заход</w:t>
            </w:r>
            <w:r>
              <w:rPr>
                <w:sz w:val="16"/>
              </w:rPr>
              <w:t>и щодо ліквідації заборгованості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24BA8" w:rsidRDefault="00B24BA8">
            <w:pPr>
              <w:ind w:left="60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left="60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left="60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24BA8" w:rsidRDefault="00B24BA8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B24BA8">
            <w:pPr>
              <w:jc w:val="center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6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24BA8" w:rsidRDefault="00AC5A99">
            <w:pPr>
              <w:spacing w:after="200"/>
              <w:ind w:left="400"/>
              <w:jc w:val="both"/>
            </w:pPr>
            <w:r>
              <w:t>Збільшення зобов"</w:t>
            </w:r>
            <w:r>
              <w:t>язань для поліпшення якості навчання.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4BA8" w:rsidRDefault="00AC5A99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</w:t>
            </w:r>
            <w:r>
              <w:rPr>
                <w:b/>
              </w:rPr>
              <w:t>нду бюджету у 2019 році, та очікувані результати у 2020 році.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24BA8" w:rsidRDefault="00AC5A99">
            <w:pPr>
              <w:spacing w:after="200"/>
              <w:jc w:val="both"/>
            </w:pPr>
            <w:r>
              <w:t>Кошти спеціального фонду очікуються від надходження коштів батьківської плати, спонсорських коштів, а також коштів переданих з загального до спеціального фонду.</w:t>
            </w: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t>Лавріненко О. Г.</w:t>
            </w: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0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r>
              <w:t>Білоножко Т.О.</w:t>
            </w: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  <w:tr w:rsidR="00B24BA8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BA8" w:rsidRDefault="00AC5A99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3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24BA8" w:rsidRDefault="00B24BA8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24BA8" w:rsidRDefault="00B24BA8">
            <w:pPr>
              <w:pStyle w:val="EMPTYCELLSTYLE"/>
            </w:pPr>
          </w:p>
        </w:tc>
      </w:tr>
    </w:tbl>
    <w:p w:rsidR="00000000" w:rsidRDefault="00AC5A99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BA8"/>
    <w:rsid w:val="00AC5A99"/>
    <w:rsid w:val="00B2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2019-12-15T17:39:00Z</dcterms:created>
  <dcterms:modified xsi:type="dcterms:W3CDTF">2019-12-15T17:39:00Z</dcterms:modified>
</cp:coreProperties>
</file>