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FED" w:rsidRDefault="00751FED" w:rsidP="00751FED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628238" wp14:editId="0A2A6D06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FED" w:rsidRPr="00E0457E" w:rsidRDefault="00751FED" w:rsidP="00751FE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proofErr w:type="spellStart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751FED" w:rsidRPr="00E0457E" w:rsidRDefault="00751FED" w:rsidP="00751FE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751FED" w:rsidRPr="00E0457E" w:rsidRDefault="00751FED" w:rsidP="00751FED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751FED" w:rsidRPr="00E0457E" w:rsidRDefault="00751FED" w:rsidP="00751FE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proofErr w:type="spellStart"/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751FED" w:rsidRPr="00E0457E" w:rsidRDefault="00751FED" w:rsidP="00751FE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751FED" w:rsidRPr="00E0457E" w:rsidRDefault="00751FED" w:rsidP="00751FED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 wp14:anchorId="18A52805" wp14:editId="12FCFB12">
            <wp:extent cx="1884680" cy="946150"/>
            <wp:effectExtent l="0" t="0" r="127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FED" w:rsidRPr="00377F56" w:rsidRDefault="0044129C" w:rsidP="0044129C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4129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Коли відомості, зазначені в одноразовій добровільній декларації, </w:t>
      </w:r>
    </w:p>
    <w:p w:rsidR="0044129C" w:rsidRDefault="0044129C" w:rsidP="0044129C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44129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не можуть бути використані в перевірках</w:t>
      </w:r>
    </w:p>
    <w:p w:rsidR="0044129C" w:rsidRPr="0044129C" w:rsidRDefault="0044129C" w:rsidP="0044129C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</w:p>
    <w:p w:rsidR="0044129C" w:rsidRPr="0044129C" w:rsidRDefault="0044129C" w:rsidP="004412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п. 16 </w:t>
      </w:r>
      <w:proofErr w:type="spellStart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XX «Перехідні положення» Податкового кодексу України від 02 грудня 2010 року № 2755-VI із змінами та доповненнями (далі – Кодекс) одноразові (спеціальні) добровільні декларації (далі – Декларація), а також відомості, що містяться в них, не можуть бути використані в розслідуваннях та/або перевірках стосовно декларанта, а також як докази у кримінальних провадженнях, справах про адміністративні правопорушення, цивільних та адміністративних справах (у межах складу та вартості активів, зазначених в Декларації як об’єкт і база для нарахування збору з одноразового (спеціального) добровільного декларування). </w:t>
      </w:r>
    </w:p>
    <w:p w:rsidR="0044129C" w:rsidRPr="0044129C" w:rsidRDefault="0044129C" w:rsidP="004412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Положення абзацу першого п. 16 </w:t>
      </w:r>
      <w:proofErr w:type="spellStart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XX «Перехідні положення» Кодексу не застосовуються у разі, якщо декларант, починаючи з 2010 року, є чи був членом сім’ї першого та другого ступенів споріднення, відповідно до </w:t>
      </w:r>
      <w:proofErr w:type="spellStart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п.п</w:t>
      </w:r>
      <w:proofErr w:type="spellEnd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14.1.263 п. 14.1 ст. 14 Кодексу, особи, визначеної абзацом третім п. 3 </w:t>
      </w:r>
      <w:proofErr w:type="spellStart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XX «Перехідні положення» Кодексу, крім випадку притягнення такої особи до кримінальної відповідальності за </w:t>
      </w:r>
      <w:proofErr w:type="spellStart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ст.ст</w:t>
      </w:r>
      <w:proofErr w:type="spellEnd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212 та 212 прим. 1 (щодо зобов’язань декларанта як фізичної особи або фізичної особи – підприємця) Кримінального кодексу України від 05 квітня 2001 року № 2341-ІІІ із змінами та доповненнями (далі – ККУ) щодо активів фізичної особи (у межах складу та вартості), які зазначені в Декларації, або відповідними державними органами встановлено, що набуття активів, зазначених в Декларації, містить ознаки кримінального правопорушення, передбаченого     ст. 368 прим. 5 ККУ, або такі активи підлягають стягненню як необґрунтовані в порядку, встановленому главою 12 </w:t>
      </w:r>
      <w:proofErr w:type="spellStart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III Цивільного процесуального кодексу України від 18 березня 2004 року № 1618-IV із змінами та доповненнями. У разі винесення судом рішення, що набрало законної сили, про визнання активів, зазначених в Декларації, необґрунтованими та їх стягнення у дохід держави або винесення </w:t>
      </w:r>
      <w:proofErr w:type="spellStart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вироку</w:t>
      </w:r>
      <w:proofErr w:type="spellEnd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суду щодо конфіскації або спеціальної конфіскації таких активів сплачений декларантом збір з одноразового (спеціального) добровільного декларування (далі – Збір) не повертається. </w:t>
      </w:r>
    </w:p>
    <w:p w:rsidR="0044129C" w:rsidRPr="0044129C" w:rsidRDefault="0044129C" w:rsidP="004412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Активи фізичної особи (у межах складу та вартості), які зазначено у поданій Декларації, та відповідно сплачений Збір декларантом у повному обсязі суми Збору у встановлених </w:t>
      </w:r>
      <w:proofErr w:type="spellStart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XX «Перехідні положення» Кодексу порядку, строки та розмірі, а також Декларація не можуть бути використані як підстава для відкриття кримінального </w:t>
      </w:r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провадження, кваліфікованого за </w:t>
      </w:r>
      <w:proofErr w:type="spellStart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ст.ст</w:t>
      </w:r>
      <w:proofErr w:type="spellEnd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212 та 212 прим. 1 ККУ, або повідомлення про адміністративне правопорушення, передбачене </w:t>
      </w:r>
      <w:proofErr w:type="spellStart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ст.ст</w:t>
      </w:r>
      <w:proofErr w:type="spellEnd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155 прим. 1, 162, 162 прим. 1, 163 прим. 1 (щодо </w:t>
      </w:r>
      <w:proofErr w:type="spellStart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самозайнятої</w:t>
      </w:r>
      <w:proofErr w:type="spellEnd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особи), 163 прим. 2 (щодо </w:t>
      </w:r>
      <w:proofErr w:type="spellStart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самозайнятої</w:t>
      </w:r>
      <w:proofErr w:type="spellEnd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особи в частині сплати єдиного податку та єдиного внеску на загальнообов’язкове державне соціальне страхування), 163 прим. 4 ( щодо </w:t>
      </w:r>
      <w:proofErr w:type="spellStart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самозайнятої</w:t>
      </w:r>
      <w:proofErr w:type="spellEnd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особи), 163 прим. 15 (щодо </w:t>
      </w:r>
      <w:proofErr w:type="spellStart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самозайнятої</w:t>
      </w:r>
      <w:proofErr w:type="spellEnd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особи), 164 (щодо </w:t>
      </w:r>
      <w:proofErr w:type="spellStart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самозайнятої</w:t>
      </w:r>
      <w:proofErr w:type="spellEnd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особи), 164 прим. 1, 164 прим. 2 (щодо </w:t>
      </w:r>
      <w:proofErr w:type="spellStart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самозайнятої</w:t>
      </w:r>
      <w:proofErr w:type="spellEnd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особи), 165 прим. 1 (щодо </w:t>
      </w:r>
      <w:proofErr w:type="spellStart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самозайнятої</w:t>
      </w:r>
      <w:proofErr w:type="spellEnd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особи), 166 прим. 6 (щодо </w:t>
      </w:r>
      <w:proofErr w:type="spellStart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самозайнятої</w:t>
      </w:r>
      <w:proofErr w:type="spellEnd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особи) Кодексу України про адміністративні правопорушення від 07 грудня 1984 року № 8073-Х із змінами та доповненнями, або як доказ визнання декларантом факту вчинення ним зазначених у абзаці третьому п. 16 </w:t>
      </w:r>
      <w:proofErr w:type="spellStart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XX «Перехідні положення» правопорушень чи визнання ним вини у вчиненні зазначених у цьому абзаці правопорушень. </w:t>
      </w:r>
    </w:p>
    <w:p w:rsidR="0044129C" w:rsidRPr="0044129C" w:rsidRDefault="0044129C" w:rsidP="004412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Отже</w:t>
      </w:r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відомості, які зазначені декларантом у Декларації не можуть бути використані в розслідуваннях та/або перевірках стосовно декларанта, крім випадків, визначених п. 16 </w:t>
      </w:r>
      <w:proofErr w:type="spellStart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4412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XX «Перехідні положення» Кодексу. </w:t>
      </w:r>
    </w:p>
    <w:p w:rsidR="00751FED" w:rsidRPr="00377F56" w:rsidRDefault="00751FED" w:rsidP="0044129C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751FED" w:rsidRPr="00377F56" w:rsidRDefault="00751FED" w:rsidP="0044129C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751FED" w:rsidRPr="00377F56" w:rsidRDefault="00751FED" w:rsidP="0044129C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751FED" w:rsidRDefault="00751FED" w:rsidP="00751FED">
      <w:pPr>
        <w:ind w:firstLine="567"/>
        <w:jc w:val="both"/>
        <w:rPr>
          <w:lang w:val="en-US"/>
        </w:rPr>
      </w:pPr>
    </w:p>
    <w:p w:rsidR="00377F56" w:rsidRDefault="00377F56" w:rsidP="00751FED">
      <w:pPr>
        <w:ind w:firstLine="567"/>
        <w:jc w:val="both"/>
        <w:rPr>
          <w:lang w:val="en-US"/>
        </w:rPr>
      </w:pPr>
    </w:p>
    <w:p w:rsidR="00377F56" w:rsidRDefault="00377F56" w:rsidP="00751FED">
      <w:pPr>
        <w:ind w:firstLine="567"/>
        <w:jc w:val="both"/>
        <w:rPr>
          <w:lang w:val="en-US"/>
        </w:rPr>
      </w:pPr>
    </w:p>
    <w:p w:rsidR="00377F56" w:rsidRDefault="00377F56" w:rsidP="00751FED">
      <w:pPr>
        <w:ind w:firstLine="567"/>
        <w:jc w:val="both"/>
        <w:rPr>
          <w:lang w:val="en-US"/>
        </w:rPr>
      </w:pPr>
    </w:p>
    <w:p w:rsidR="00377F56" w:rsidRPr="00377F56" w:rsidRDefault="00377F56" w:rsidP="00751FED">
      <w:pPr>
        <w:ind w:firstLine="567"/>
        <w:jc w:val="both"/>
        <w:rPr>
          <w:lang w:val="en-US"/>
        </w:rPr>
      </w:pPr>
      <w:bookmarkStart w:id="0" w:name="_GoBack"/>
      <w:bookmarkEnd w:id="0"/>
    </w:p>
    <w:p w:rsidR="00751FED" w:rsidRPr="00377F56" w:rsidRDefault="00751FED" w:rsidP="00751FED">
      <w:pPr>
        <w:ind w:firstLine="567"/>
        <w:jc w:val="both"/>
      </w:pPr>
    </w:p>
    <w:p w:rsidR="00751FED" w:rsidRPr="00377F56" w:rsidRDefault="00751FED" w:rsidP="00751FED">
      <w:pPr>
        <w:ind w:firstLine="567"/>
        <w:jc w:val="both"/>
      </w:pPr>
    </w:p>
    <w:p w:rsidR="00751FED" w:rsidRPr="00377F56" w:rsidRDefault="00751FED" w:rsidP="00751FED">
      <w:pPr>
        <w:ind w:firstLine="567"/>
        <w:jc w:val="both"/>
      </w:pPr>
    </w:p>
    <w:p w:rsidR="00751FED" w:rsidRPr="00377F56" w:rsidRDefault="00751FED" w:rsidP="00751FED">
      <w:pPr>
        <w:ind w:firstLine="567"/>
        <w:jc w:val="both"/>
      </w:pPr>
    </w:p>
    <w:p w:rsidR="00751FED" w:rsidRPr="00377F56" w:rsidRDefault="00751FED" w:rsidP="00751FED">
      <w:pPr>
        <w:ind w:firstLine="567"/>
        <w:jc w:val="both"/>
      </w:pPr>
    </w:p>
    <w:p w:rsidR="00751FED" w:rsidRPr="00377F56" w:rsidRDefault="00751FED" w:rsidP="00751FED">
      <w:pPr>
        <w:ind w:firstLine="567"/>
        <w:jc w:val="both"/>
      </w:pPr>
    </w:p>
    <w:p w:rsidR="00751FED" w:rsidRPr="00377F56" w:rsidRDefault="00751FED" w:rsidP="00751FED">
      <w:pPr>
        <w:ind w:firstLine="567"/>
        <w:jc w:val="both"/>
      </w:pPr>
    </w:p>
    <w:p w:rsidR="00751FED" w:rsidRPr="00377F56" w:rsidRDefault="00751FED" w:rsidP="00751FED">
      <w:pPr>
        <w:ind w:firstLine="567"/>
        <w:jc w:val="both"/>
      </w:pPr>
    </w:p>
    <w:p w:rsidR="00751FED" w:rsidRPr="00E0457E" w:rsidRDefault="00751FED" w:rsidP="00751FE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E0457E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0457E"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 w:rsidRPr="00E0457E">
        <w:rPr>
          <w:rFonts w:ascii="Times New Roman" w:eastAsia="Calibri" w:hAnsi="Times New Roman" w:cs="Times New Roman"/>
          <w:sz w:val="20"/>
          <w:szCs w:val="20"/>
          <w:lang w:val="uk-UA"/>
        </w:rPr>
        <w:t>-</w:t>
      </w:r>
      <w:r w:rsidRPr="00E0457E"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 w:rsidRPr="00E0457E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E0457E">
          <w:rPr>
            <w:rStyle w:val="a6"/>
            <w:rFonts w:ascii="Times New Roman" w:eastAsia="Calibri" w:hAnsi="Times New Roman" w:cs="Times New Roman"/>
            <w:sz w:val="20"/>
            <w:szCs w:val="20"/>
            <w:lang w:val="en-US"/>
          </w:rPr>
          <w:t>ck</w:t>
        </w:r>
        <w:r w:rsidRPr="00E0457E">
          <w:rPr>
            <w:rStyle w:val="a6"/>
            <w:rFonts w:ascii="Times New Roman" w:eastAsia="Calibri" w:hAnsi="Times New Roman" w:cs="Times New Roman"/>
            <w:sz w:val="20"/>
            <w:szCs w:val="20"/>
            <w:lang w:val="uk-UA"/>
          </w:rPr>
          <w:t>.</w:t>
        </w:r>
        <w:r w:rsidRPr="00E0457E">
          <w:rPr>
            <w:rStyle w:val="a6"/>
            <w:rFonts w:ascii="Times New Roman" w:eastAsia="Calibri" w:hAnsi="Times New Roman" w:cs="Times New Roman"/>
            <w:sz w:val="20"/>
            <w:szCs w:val="20"/>
            <w:lang w:val="en-US"/>
          </w:rPr>
          <w:t>zmi</w:t>
        </w:r>
        <w:r w:rsidRPr="00E0457E">
          <w:rPr>
            <w:rStyle w:val="a6"/>
            <w:rFonts w:ascii="Times New Roman" w:eastAsia="Calibri" w:hAnsi="Times New Roman" w:cs="Times New Roman"/>
            <w:sz w:val="20"/>
            <w:szCs w:val="20"/>
            <w:lang w:val="uk-UA"/>
          </w:rPr>
          <w:t>@</w:t>
        </w:r>
        <w:r w:rsidRPr="00E0457E">
          <w:rPr>
            <w:rStyle w:val="a6"/>
            <w:rFonts w:ascii="Times New Roman" w:eastAsia="Calibri" w:hAnsi="Times New Roman" w:cs="Times New Roman"/>
            <w:sz w:val="20"/>
            <w:szCs w:val="20"/>
            <w:lang w:val="en-US"/>
          </w:rPr>
          <w:t>tax</w:t>
        </w:r>
        <w:r w:rsidRPr="00E0457E">
          <w:rPr>
            <w:rStyle w:val="a6"/>
            <w:rFonts w:ascii="Times New Roman" w:eastAsia="Calibri" w:hAnsi="Times New Roman" w:cs="Times New Roman"/>
            <w:sz w:val="20"/>
            <w:szCs w:val="20"/>
            <w:lang w:val="uk-UA"/>
          </w:rPr>
          <w:t>.</w:t>
        </w:r>
        <w:r w:rsidRPr="00E0457E">
          <w:rPr>
            <w:rStyle w:val="a6"/>
            <w:rFonts w:ascii="Times New Roman" w:eastAsia="Calibri" w:hAnsi="Times New Roman" w:cs="Times New Roman"/>
            <w:sz w:val="20"/>
            <w:szCs w:val="20"/>
            <w:lang w:val="en-US"/>
          </w:rPr>
          <w:t>gov</w:t>
        </w:r>
        <w:r w:rsidRPr="00E0457E">
          <w:rPr>
            <w:rStyle w:val="a6"/>
            <w:rFonts w:ascii="Times New Roman" w:eastAsia="Calibri" w:hAnsi="Times New Roman" w:cs="Times New Roman"/>
            <w:sz w:val="20"/>
            <w:szCs w:val="20"/>
            <w:lang w:val="uk-UA"/>
          </w:rPr>
          <w:t>.</w:t>
        </w:r>
        <w:proofErr w:type="spellStart"/>
        <w:r w:rsidRPr="00E0457E">
          <w:rPr>
            <w:rStyle w:val="a6"/>
            <w:rFonts w:ascii="Times New Roman" w:eastAsia="Calibri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751FED" w:rsidRPr="00E0457E" w:rsidRDefault="00751FED" w:rsidP="00751F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457E">
        <w:rPr>
          <w:rFonts w:ascii="Times New Roman" w:eastAsia="Calibri" w:hAnsi="Times New Roman" w:cs="Times New Roman"/>
          <w:sz w:val="20"/>
          <w:szCs w:val="20"/>
        </w:rPr>
        <w:t>тел.(0472) 33-91-34</w:t>
      </w:r>
      <w:r w:rsidRPr="00E0457E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                                                                          </w:t>
      </w:r>
      <w:hyperlink r:id="rId7" w:history="1">
        <w:r w:rsidRPr="00E0457E">
          <w:rPr>
            <w:rStyle w:val="a6"/>
            <w:rFonts w:ascii="Times New Roman" w:eastAsia="Calibri" w:hAnsi="Times New Roman" w:cs="Times New Roman"/>
            <w:sz w:val="20"/>
            <w:szCs w:val="20"/>
            <w:lang w:val="uk-UA"/>
          </w:rPr>
          <w:t>https://ck.tax.gov.ua/</w:t>
        </w:r>
      </w:hyperlink>
    </w:p>
    <w:p w:rsidR="00751FED" w:rsidRPr="00751FED" w:rsidRDefault="00751FED" w:rsidP="0044129C">
      <w:pPr>
        <w:spacing w:after="0" w:line="240" w:lineRule="auto"/>
        <w:ind w:firstLine="567"/>
        <w:jc w:val="both"/>
        <w:rPr>
          <w:sz w:val="28"/>
          <w:szCs w:val="28"/>
        </w:rPr>
      </w:pPr>
    </w:p>
    <w:sectPr w:rsidR="00751FED" w:rsidRPr="00751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29C"/>
    <w:rsid w:val="00281277"/>
    <w:rsid w:val="00377F56"/>
    <w:rsid w:val="0044129C"/>
    <w:rsid w:val="00751FED"/>
    <w:rsid w:val="00D7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412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12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41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4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29C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751FED"/>
    <w:rPr>
      <w:color w:val="0000FF"/>
      <w:u w:val="single"/>
    </w:rPr>
  </w:style>
  <w:style w:type="character" w:customStyle="1" w:styleId="z-label">
    <w:name w:val="z-label"/>
    <w:basedOn w:val="a0"/>
    <w:rsid w:val="00751F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412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12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41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4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29C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751FED"/>
    <w:rPr>
      <w:color w:val="0000FF"/>
      <w:u w:val="single"/>
    </w:rPr>
  </w:style>
  <w:style w:type="character" w:customStyle="1" w:styleId="z-label">
    <w:name w:val="z-label"/>
    <w:basedOn w:val="a0"/>
    <w:rsid w:val="00751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1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64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3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30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8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2585</Words>
  <Characters>1475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3</cp:revision>
  <dcterms:created xsi:type="dcterms:W3CDTF">2021-09-09T05:07:00Z</dcterms:created>
  <dcterms:modified xsi:type="dcterms:W3CDTF">2021-09-10T05:22:00Z</dcterms:modified>
</cp:coreProperties>
</file>