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9067B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92D5E" w:rsidRPr="00E07F61" w:rsidRDefault="00492D5E" w:rsidP="00492D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об’єктом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оподаткування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ПДВ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операції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прав </w:t>
      </w:r>
      <w:proofErr w:type="gramStart"/>
      <w:r w:rsidRPr="00E07F61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об’єкти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b/>
          <w:sz w:val="28"/>
          <w:szCs w:val="28"/>
        </w:rPr>
        <w:t>нерухомого</w:t>
      </w:r>
      <w:proofErr w:type="spellEnd"/>
      <w:r w:rsidRPr="00E07F61">
        <w:rPr>
          <w:rFonts w:ascii="Times New Roman" w:hAnsi="Times New Roman" w:cs="Times New Roman"/>
          <w:b/>
          <w:sz w:val="28"/>
          <w:szCs w:val="28"/>
        </w:rPr>
        <w:t xml:space="preserve"> майна?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немайнові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цивільні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нормами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ЦКУ).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F61">
        <w:rPr>
          <w:rFonts w:ascii="Times New Roman" w:hAnsi="Times New Roman" w:cs="Times New Roman"/>
          <w:sz w:val="28"/>
          <w:szCs w:val="28"/>
        </w:rPr>
        <w:t xml:space="preserve">За договором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продажу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одна сторона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продавець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передає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зобов’язується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(товар) 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покупцеві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покупець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зобов’язується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(товар)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сплатити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суму (ст. 655 ЦКУ).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F61">
        <w:rPr>
          <w:rFonts w:ascii="Times New Roman" w:hAnsi="Times New Roman" w:cs="Times New Roman"/>
          <w:sz w:val="28"/>
          <w:szCs w:val="28"/>
        </w:rPr>
        <w:t xml:space="preserve">Предметом договору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продажу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бути,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права. До договору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продажу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купівлю-продаж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випливає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(ст. 656 ЦКУ).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засади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оціночної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2001 року № 2658-III «Про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професійну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оціночну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Закон </w:t>
      </w:r>
      <w:r w:rsidR="008665CA" w:rsidRPr="008665CA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E07F61">
        <w:rPr>
          <w:rFonts w:ascii="Times New Roman" w:hAnsi="Times New Roman" w:cs="Times New Roman"/>
          <w:sz w:val="28"/>
          <w:szCs w:val="28"/>
        </w:rPr>
        <w:t>№ 2658).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ст. 3 Закону № 2658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правами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визнаються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відмінні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складовими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частинами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специфічні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(права 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 та 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п.п. 14.1.129 п. 14.1 ст. 14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02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2010 року № 2755-VI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ПКУ)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буді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віднесені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фонду,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дачні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садові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ідпунктом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14.1.129 прим.1 п. 14.1 ст. 14 ПКУ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нежитлової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віднесені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фонду.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lastRenderedPageBreak/>
        <w:t>Правові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ПДВ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. V та </w:t>
      </w: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. XX ПКУ.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п.п. «а» і «б» п. 185.1 ст. 185 ПКУ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ПДВ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 ст. 186 ПКУ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розташоване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митній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>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розуміється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будь-яка передача права 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розпоряджання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товарами як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продаж,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дарування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такого товару, 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суду (п.п. 14.1.191 п. 14.1 ст. 14 ПКУ). При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продаж (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будь-які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договорами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продажу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міни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поставки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господарськими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цивільно-правовими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договорами,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передачу прав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за плату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компенсацію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(п.п. 14.1.202 п. 14.1 ст. 14 ПКУ).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7F6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розуміється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будь-яка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нематеріальні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активи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споживаються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(п.п. 14.1.185 п. 14.1 ст. 14 ПКУ).</w:t>
      </w:r>
    </w:p>
    <w:p w:rsidR="00492D5E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ПДВ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продавця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операцією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майна.</w:t>
      </w:r>
    </w:p>
    <w:p w:rsidR="00492D5E" w:rsidRPr="00E07F61" w:rsidRDefault="00492D5E" w:rsidP="00492D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вищевикладене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gramStart"/>
      <w:r w:rsidRPr="00E07F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F61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E07F61">
        <w:rPr>
          <w:rFonts w:ascii="Times New Roman" w:hAnsi="Times New Roman" w:cs="Times New Roman"/>
          <w:sz w:val="28"/>
          <w:szCs w:val="28"/>
        </w:rPr>
        <w:t xml:space="preserve"> ПДВ.</w:t>
      </w:r>
    </w:p>
    <w:p w:rsidR="00D41F81" w:rsidRPr="00492D5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492D5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492D5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D37A20" w:rsidRDefault="00F231BF"/>
    <w:p w:rsidR="00D37A20" w:rsidRPr="00D37A20" w:rsidRDefault="00D37A20"/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</w:t>
      </w:r>
      <w:r w:rsidR="00C92612" w:rsidRPr="00D37A20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 w:rsidR="00C92612" w:rsidRPr="00C9261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9F3"/>
    <w:rsid w:val="002A0731"/>
    <w:rsid w:val="0042694C"/>
    <w:rsid w:val="00492D5E"/>
    <w:rsid w:val="005504EF"/>
    <w:rsid w:val="008665CA"/>
    <w:rsid w:val="009067B4"/>
    <w:rsid w:val="0097221F"/>
    <w:rsid w:val="00A9309E"/>
    <w:rsid w:val="00BA12B7"/>
    <w:rsid w:val="00C92612"/>
    <w:rsid w:val="00CD0DBB"/>
    <w:rsid w:val="00D07571"/>
    <w:rsid w:val="00D37A20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18</cp:revision>
  <dcterms:created xsi:type="dcterms:W3CDTF">2021-05-25T12:16:00Z</dcterms:created>
  <dcterms:modified xsi:type="dcterms:W3CDTF">2021-09-01T12:24:00Z</dcterms:modified>
</cp:coreProperties>
</file>