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48B" w:rsidRDefault="00D1348B" w:rsidP="00D1348B">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ДОВІДКА</w:t>
      </w:r>
    </w:p>
    <w:p w:rsidR="00D1348B" w:rsidRDefault="00D1348B" w:rsidP="00D1348B">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про підсумки роботи із зверненнями громадян, що надійшли </w:t>
      </w:r>
    </w:p>
    <w:p w:rsidR="00D1348B" w:rsidRDefault="00D1348B" w:rsidP="00D1348B">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D1348B" w:rsidRDefault="00D1348B" w:rsidP="00D1348B">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протягом 2020 року</w:t>
      </w:r>
    </w:p>
    <w:p w:rsidR="00D1348B" w:rsidRDefault="00D1348B" w:rsidP="00D1348B">
      <w:pPr>
        <w:overflowPunct w:val="0"/>
        <w:autoSpaceDE w:val="0"/>
        <w:autoSpaceDN w:val="0"/>
        <w:adjustRightInd w:val="0"/>
        <w:spacing w:after="0" w:line="240" w:lineRule="auto"/>
        <w:ind w:firstLine="567"/>
        <w:jc w:val="center"/>
        <w:rPr>
          <w:rFonts w:ascii="Times New Roman" w:hAnsi="Times New Roman"/>
          <w:b/>
          <w:bCs/>
          <w:sz w:val="24"/>
          <w:szCs w:val="24"/>
          <w:lang w:val="uk-UA"/>
        </w:rPr>
      </w:pP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Протягом 2020 року до виконавчого комітету Знам`янської міської ради надійшло </w:t>
      </w:r>
      <w:r>
        <w:rPr>
          <w:rFonts w:ascii="Times New Roman" w:hAnsi="Times New Roman"/>
          <w:sz w:val="24"/>
          <w:szCs w:val="24"/>
        </w:rPr>
        <w:t>147</w:t>
      </w:r>
      <w:r>
        <w:rPr>
          <w:rFonts w:ascii="Times New Roman" w:hAnsi="Times New Roman"/>
          <w:sz w:val="24"/>
          <w:szCs w:val="24"/>
          <w:lang w:val="uk-UA"/>
        </w:rPr>
        <w:t xml:space="preserve">4 звернень громадян (у відповідний період 2019 року – </w:t>
      </w:r>
      <w:r>
        <w:rPr>
          <w:rFonts w:ascii="Times New Roman" w:hAnsi="Times New Roman"/>
          <w:sz w:val="24"/>
          <w:szCs w:val="24"/>
        </w:rPr>
        <w:t>2073</w:t>
      </w:r>
      <w:r>
        <w:rPr>
          <w:rFonts w:ascii="Times New Roman" w:hAnsi="Times New Roman"/>
          <w:sz w:val="24"/>
          <w:szCs w:val="24"/>
          <w:lang w:val="uk-UA"/>
        </w:rPr>
        <w:t>) що на 599 звернень менше.</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noProof/>
          <w:sz w:val="24"/>
          <w:szCs w:val="24"/>
          <w:lang w:val="uk-UA" w:eastAsia="ru-RU"/>
        </w:rPr>
        <w:t xml:space="preserve"> </w:t>
      </w:r>
      <w:r>
        <w:rPr>
          <w:noProof/>
          <w:lang w:eastAsia="ru-RU"/>
        </w:rPr>
        <w:drawing>
          <wp:inline distT="0" distB="0" distL="0" distR="0" wp14:anchorId="15334C7B" wp14:editId="6C09B53E">
            <wp:extent cx="4705350" cy="23336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1348B" w:rsidRDefault="00D1348B" w:rsidP="00D1348B">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iCs/>
          <w:sz w:val="24"/>
          <w:szCs w:val="24"/>
          <w:lang w:val="uk-UA" w:eastAsia="uk-UA"/>
        </w:rPr>
        <w:t xml:space="preserve">Відбулося зменшення звернень громадян у зв’язку з поширення коронавірусної інфекції </w:t>
      </w:r>
      <w:r>
        <w:rPr>
          <w:rFonts w:ascii="Times New Roman" w:eastAsia="Times New Roman" w:hAnsi="Times New Roman"/>
          <w:sz w:val="24"/>
          <w:szCs w:val="24"/>
          <w:lang w:val="en-US" w:eastAsia="uk-UA"/>
        </w:rPr>
        <w:t>COVID</w:t>
      </w:r>
      <w:r>
        <w:rPr>
          <w:rFonts w:ascii="Times New Roman" w:eastAsia="Times New Roman" w:hAnsi="Times New Roman"/>
          <w:sz w:val="24"/>
          <w:szCs w:val="24"/>
          <w:lang w:val="uk-UA" w:eastAsia="uk-UA"/>
        </w:rPr>
        <w:t>-19</w:t>
      </w:r>
      <w:r>
        <w:rPr>
          <w:rFonts w:ascii="Times New Roman" w:eastAsia="Times New Roman" w:hAnsi="Times New Roman"/>
          <w:iCs/>
          <w:sz w:val="24"/>
          <w:szCs w:val="24"/>
          <w:lang w:val="uk-UA" w:eastAsia="uk-UA"/>
        </w:rPr>
        <w:t>.</w:t>
      </w:r>
      <w:r>
        <w:rPr>
          <w:rFonts w:ascii="Times New Roman" w:eastAsia="Times New Roman" w:hAnsi="Times New Roman"/>
          <w:sz w:val="24"/>
          <w:szCs w:val="24"/>
          <w:lang w:val="uk-UA" w:eastAsia="uk-UA"/>
        </w:rPr>
        <w:t xml:space="preserve"> Відповідно до Постанови Кабінету Міністрів України «Про запобігання поширенню на території України гострої респіраторної хвороби </w:t>
      </w:r>
      <w:r>
        <w:rPr>
          <w:rFonts w:ascii="Times New Roman" w:eastAsia="Times New Roman" w:hAnsi="Times New Roman"/>
          <w:sz w:val="24"/>
          <w:szCs w:val="24"/>
          <w:lang w:val="en-US" w:eastAsia="uk-UA"/>
        </w:rPr>
        <w:t>COVID</w:t>
      </w:r>
      <w:r>
        <w:rPr>
          <w:rFonts w:ascii="Times New Roman" w:eastAsia="Times New Roman" w:hAnsi="Times New Roman"/>
          <w:sz w:val="24"/>
          <w:szCs w:val="24"/>
          <w:lang w:val="uk-UA" w:eastAsia="uk-UA"/>
        </w:rPr>
        <w:t xml:space="preserve">-19, спричиненої </w:t>
      </w:r>
      <w:proofErr w:type="spellStart"/>
      <w:r>
        <w:rPr>
          <w:rFonts w:ascii="Times New Roman" w:eastAsia="Times New Roman" w:hAnsi="Times New Roman"/>
          <w:sz w:val="24"/>
          <w:szCs w:val="24"/>
          <w:lang w:val="uk-UA" w:eastAsia="uk-UA"/>
        </w:rPr>
        <w:t>короновірусом</w:t>
      </w:r>
      <w:proofErr w:type="spellEnd"/>
      <w:r>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en-US" w:eastAsia="uk-UA"/>
        </w:rPr>
        <w:t>SARS</w:t>
      </w:r>
      <w:r>
        <w:rPr>
          <w:rFonts w:ascii="Times New Roman" w:eastAsia="Times New Roman" w:hAnsi="Times New Roman"/>
          <w:sz w:val="24"/>
          <w:szCs w:val="24"/>
          <w:lang w:val="uk-UA" w:eastAsia="uk-UA"/>
        </w:rPr>
        <w:t>-</w:t>
      </w:r>
      <w:proofErr w:type="spellStart"/>
      <w:r>
        <w:rPr>
          <w:rFonts w:ascii="Times New Roman" w:eastAsia="Times New Roman" w:hAnsi="Times New Roman"/>
          <w:sz w:val="24"/>
          <w:szCs w:val="24"/>
          <w:lang w:val="en-US" w:eastAsia="uk-UA"/>
        </w:rPr>
        <w:t>CoV</w:t>
      </w:r>
      <w:proofErr w:type="spellEnd"/>
      <w:r>
        <w:rPr>
          <w:rFonts w:ascii="Times New Roman" w:eastAsia="Times New Roman" w:hAnsi="Times New Roman"/>
          <w:sz w:val="24"/>
          <w:szCs w:val="24"/>
          <w:lang w:val="uk-UA" w:eastAsia="uk-UA"/>
        </w:rPr>
        <w:t>-2», на усій території України введено карантин.</w:t>
      </w:r>
      <w:r>
        <w:rPr>
          <w:b/>
          <w:bCs/>
          <w:sz w:val="24"/>
          <w:szCs w:val="24"/>
          <w:shd w:val="clear" w:color="auto" w:fill="FFFFFF"/>
          <w:lang w:val="uk-UA"/>
        </w:rPr>
        <w:t xml:space="preserve"> </w:t>
      </w:r>
      <w:r>
        <w:rPr>
          <w:rFonts w:ascii="Times New Roman" w:hAnsi="Times New Roman"/>
          <w:iCs/>
          <w:sz w:val="24"/>
          <w:szCs w:val="24"/>
          <w:lang w:val="uk-UA"/>
        </w:rPr>
        <w:t>Тому</w:t>
      </w:r>
      <w:r>
        <w:rPr>
          <w:i/>
          <w:iCs/>
          <w:sz w:val="24"/>
          <w:szCs w:val="24"/>
          <w:lang w:val="uk-UA"/>
        </w:rPr>
        <w:t xml:space="preserve"> </w:t>
      </w:r>
      <w:r>
        <w:rPr>
          <w:rFonts w:ascii="Times New Roman" w:eastAsia="Times New Roman" w:hAnsi="Times New Roman"/>
          <w:sz w:val="24"/>
          <w:szCs w:val="24"/>
          <w:lang w:val="uk-UA" w:eastAsia="ru-RU"/>
        </w:rPr>
        <w:t>в умовах карантину, в межах чинного законодавства, здійснювався прийом громадян в обмеженому доступі: за попереднім записом, в телефонному режимі, через засоби електронного обміну та шляхом листування.</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w:t>
      </w:r>
      <w:r>
        <w:rPr>
          <w:rFonts w:ascii="Times New Roman" w:hAnsi="Times New Roman"/>
          <w:sz w:val="24"/>
          <w:szCs w:val="24"/>
        </w:rPr>
        <w:t>9</w:t>
      </w:r>
      <w:r>
        <w:rPr>
          <w:rFonts w:ascii="Times New Roman" w:hAnsi="Times New Roman"/>
          <w:sz w:val="24"/>
          <w:szCs w:val="24"/>
          <w:lang w:val="uk-UA"/>
        </w:rPr>
        <w:t>80 надійшло поштою (у відповідний період 2019 року – 1</w:t>
      </w:r>
      <w:r>
        <w:rPr>
          <w:rFonts w:ascii="Times New Roman" w:hAnsi="Times New Roman"/>
          <w:sz w:val="24"/>
          <w:szCs w:val="24"/>
        </w:rPr>
        <w:t>337</w:t>
      </w:r>
      <w:r>
        <w:rPr>
          <w:rFonts w:ascii="Times New Roman" w:hAnsi="Times New Roman"/>
          <w:sz w:val="24"/>
          <w:szCs w:val="24"/>
          <w:lang w:val="uk-UA"/>
        </w:rPr>
        <w:t xml:space="preserve">). </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41 громадянин (у відповідний період 2019 року – 1</w:t>
      </w:r>
      <w:r>
        <w:rPr>
          <w:rFonts w:ascii="Times New Roman" w:hAnsi="Times New Roman"/>
          <w:sz w:val="24"/>
          <w:szCs w:val="24"/>
        </w:rPr>
        <w:t>99</w:t>
      </w:r>
      <w:r>
        <w:rPr>
          <w:rFonts w:ascii="Times New Roman" w:hAnsi="Times New Roman"/>
          <w:sz w:val="24"/>
          <w:szCs w:val="24"/>
          <w:lang w:val="uk-UA"/>
        </w:rPr>
        <w:t>).</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D1348B" w:rsidRDefault="00D1348B" w:rsidP="00D1348B">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через Кіровоградську ОДА – </w:t>
      </w:r>
      <w:r>
        <w:rPr>
          <w:rFonts w:ascii="Times New Roman" w:hAnsi="Times New Roman"/>
          <w:sz w:val="24"/>
          <w:szCs w:val="24"/>
        </w:rPr>
        <w:t>21</w:t>
      </w:r>
      <w:r>
        <w:rPr>
          <w:rFonts w:ascii="Times New Roman" w:hAnsi="Times New Roman"/>
          <w:sz w:val="24"/>
          <w:szCs w:val="24"/>
          <w:lang w:val="uk-UA"/>
        </w:rPr>
        <w:t>(у відповідний період 2019 року – 33);</w:t>
      </w:r>
    </w:p>
    <w:p w:rsidR="00D1348B" w:rsidRDefault="00D1348B" w:rsidP="00D1348B">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через Обласний контактний центр та Урядову гарячу лінію – </w:t>
      </w:r>
      <w:r>
        <w:rPr>
          <w:rFonts w:ascii="Times New Roman" w:hAnsi="Times New Roman"/>
          <w:sz w:val="24"/>
          <w:szCs w:val="24"/>
        </w:rPr>
        <w:t>430</w:t>
      </w:r>
      <w:r>
        <w:rPr>
          <w:rFonts w:ascii="Times New Roman" w:hAnsi="Times New Roman"/>
          <w:sz w:val="24"/>
          <w:szCs w:val="24"/>
          <w:lang w:val="uk-UA"/>
        </w:rPr>
        <w:t xml:space="preserve"> (у відповідний період 2019 року – </w:t>
      </w:r>
      <w:r>
        <w:rPr>
          <w:rFonts w:ascii="Times New Roman" w:hAnsi="Times New Roman"/>
          <w:sz w:val="24"/>
          <w:szCs w:val="24"/>
        </w:rPr>
        <w:t>501</w:t>
      </w:r>
      <w:r>
        <w:rPr>
          <w:rFonts w:ascii="Times New Roman" w:hAnsi="Times New Roman"/>
          <w:sz w:val="24"/>
          <w:szCs w:val="24"/>
          <w:lang w:val="uk-UA"/>
        </w:rPr>
        <w:t>).</w:t>
      </w:r>
    </w:p>
    <w:p w:rsidR="00D1348B" w:rsidRDefault="00D1348B" w:rsidP="00D1348B">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інші органи влади – 2 (у відповідний період 2019 року – 3).</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Кількість колективних звернень протягом звітного періоду – </w:t>
      </w:r>
      <w:r>
        <w:rPr>
          <w:rFonts w:ascii="Times New Roman" w:hAnsi="Times New Roman"/>
          <w:sz w:val="24"/>
          <w:szCs w:val="24"/>
        </w:rPr>
        <w:t>71</w:t>
      </w:r>
      <w:r>
        <w:rPr>
          <w:rFonts w:ascii="Times New Roman" w:hAnsi="Times New Roman"/>
          <w:sz w:val="24"/>
          <w:szCs w:val="24"/>
          <w:lang w:val="uk-UA"/>
        </w:rPr>
        <w:t xml:space="preserve"> (у відповідний період 2019 року – </w:t>
      </w:r>
      <w:r>
        <w:rPr>
          <w:rFonts w:ascii="Times New Roman" w:hAnsi="Times New Roman"/>
          <w:sz w:val="24"/>
          <w:szCs w:val="24"/>
        </w:rPr>
        <w:t>91</w:t>
      </w:r>
      <w:r>
        <w:rPr>
          <w:rFonts w:ascii="Times New Roman" w:hAnsi="Times New Roman"/>
          <w:sz w:val="24"/>
          <w:szCs w:val="24"/>
          <w:lang w:val="uk-UA"/>
        </w:rPr>
        <w:t xml:space="preserve">), анонімних звернень – </w:t>
      </w:r>
      <w:r>
        <w:rPr>
          <w:rFonts w:ascii="Times New Roman" w:hAnsi="Times New Roman"/>
          <w:sz w:val="24"/>
          <w:szCs w:val="24"/>
        </w:rPr>
        <w:t>6</w:t>
      </w:r>
      <w:r>
        <w:rPr>
          <w:rFonts w:ascii="Times New Roman" w:hAnsi="Times New Roman"/>
          <w:sz w:val="24"/>
          <w:szCs w:val="24"/>
          <w:lang w:val="uk-UA"/>
        </w:rPr>
        <w:t xml:space="preserve"> (у відповідний період 2019 року – </w:t>
      </w:r>
      <w:r>
        <w:rPr>
          <w:rFonts w:ascii="Times New Roman" w:hAnsi="Times New Roman"/>
          <w:sz w:val="24"/>
          <w:szCs w:val="24"/>
        </w:rPr>
        <w:t>4</w:t>
      </w:r>
      <w:r>
        <w:rPr>
          <w:rFonts w:ascii="Times New Roman" w:hAnsi="Times New Roman"/>
          <w:sz w:val="24"/>
          <w:szCs w:val="24"/>
          <w:lang w:val="uk-UA"/>
        </w:rPr>
        <w:t>).</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rPr>
      </w:pPr>
    </w:p>
    <w:p w:rsidR="00D1348B" w:rsidRDefault="00D1348B" w:rsidP="00D1348B">
      <w:pPr>
        <w:overflowPunct w:val="0"/>
        <w:autoSpaceDE w:val="0"/>
        <w:autoSpaceDN w:val="0"/>
        <w:adjustRightInd w:val="0"/>
        <w:spacing w:after="0" w:line="240" w:lineRule="auto"/>
        <w:ind w:left="-142"/>
        <w:rPr>
          <w:rFonts w:ascii="Times New Roman" w:hAnsi="Times New Roman"/>
          <w:sz w:val="24"/>
          <w:szCs w:val="24"/>
          <w:lang w:val="en-US"/>
        </w:rPr>
      </w:pPr>
      <w:r>
        <w:rPr>
          <w:noProof/>
          <w:lang w:eastAsia="ru-RU"/>
        </w:rPr>
        <w:drawing>
          <wp:inline distT="0" distB="0" distL="0" distR="0" wp14:anchorId="4B7AEBF5" wp14:editId="45BAE727">
            <wp:extent cx="6257925" cy="2295525"/>
            <wp:effectExtent l="0" t="0" r="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en-US"/>
        </w:rPr>
      </w:pP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Кількість громадян, які звернулися – 2288 (у відповідний період 2019 року – </w:t>
      </w:r>
      <w:r>
        <w:rPr>
          <w:rFonts w:ascii="Times New Roman" w:hAnsi="Times New Roman"/>
          <w:sz w:val="24"/>
          <w:szCs w:val="24"/>
        </w:rPr>
        <w:t>3545</w:t>
      </w:r>
      <w:r>
        <w:rPr>
          <w:rFonts w:ascii="Times New Roman" w:hAnsi="Times New Roman"/>
          <w:sz w:val="24"/>
          <w:szCs w:val="24"/>
          <w:lang w:val="uk-UA"/>
        </w:rPr>
        <w:t>).</w:t>
      </w:r>
    </w:p>
    <w:p w:rsidR="00D1348B" w:rsidRDefault="00D1348B" w:rsidP="00D1348B">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Кількість повторних звернень – 0 (у відповідний період 2019 року – </w:t>
      </w:r>
      <w:r>
        <w:rPr>
          <w:rFonts w:ascii="Times New Roman" w:hAnsi="Times New Roman"/>
          <w:sz w:val="24"/>
          <w:szCs w:val="24"/>
        </w:rPr>
        <w:t>20</w:t>
      </w:r>
      <w:r>
        <w:rPr>
          <w:rFonts w:ascii="Times New Roman" w:hAnsi="Times New Roman"/>
          <w:sz w:val="24"/>
          <w:szCs w:val="24"/>
          <w:lang w:val="uk-UA"/>
        </w:rPr>
        <w:t>).</w:t>
      </w:r>
    </w:p>
    <w:p w:rsidR="00D1348B" w:rsidRDefault="00D1348B" w:rsidP="00D1348B">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2020 року згідно Класифікатора звернень громадян:</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w:t>
      </w:r>
      <w:r>
        <w:rPr>
          <w:rFonts w:ascii="Times New Roman" w:hAnsi="Times New Roman"/>
          <w:sz w:val="24"/>
          <w:szCs w:val="24"/>
          <w:lang w:eastAsia="ru-RU"/>
        </w:rPr>
        <w:t>207</w:t>
      </w:r>
      <w:r>
        <w:rPr>
          <w:rFonts w:ascii="Times New Roman" w:hAnsi="Times New Roman"/>
          <w:sz w:val="24"/>
          <w:szCs w:val="24"/>
          <w:lang w:val="uk-UA" w:eastAsia="ru-RU"/>
        </w:rPr>
        <w:t xml:space="preserve"> (за відповідний період 2019 року – </w:t>
      </w:r>
      <w:r>
        <w:rPr>
          <w:rFonts w:ascii="Times New Roman" w:hAnsi="Times New Roman"/>
          <w:sz w:val="24"/>
          <w:szCs w:val="24"/>
          <w:lang w:eastAsia="ru-RU"/>
        </w:rPr>
        <w:t>225</w:t>
      </w:r>
      <w:r>
        <w:rPr>
          <w:rFonts w:ascii="Times New Roman" w:hAnsi="Times New Roman"/>
          <w:sz w:val="24"/>
          <w:szCs w:val="24"/>
          <w:lang w:val="uk-UA" w:eastAsia="ru-RU"/>
        </w:rPr>
        <w:t xml:space="preserve">); </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12 (за відповідний період 2019 року – </w:t>
      </w:r>
      <w:r>
        <w:rPr>
          <w:rFonts w:ascii="Times New Roman" w:hAnsi="Times New Roman"/>
          <w:sz w:val="24"/>
          <w:szCs w:val="24"/>
          <w:lang w:eastAsia="ru-RU"/>
        </w:rPr>
        <w:t>24</w:t>
      </w:r>
      <w:r>
        <w:rPr>
          <w:rFonts w:ascii="Times New Roman" w:hAnsi="Times New Roman"/>
          <w:sz w:val="24"/>
          <w:szCs w:val="24"/>
          <w:lang w:val="uk-UA" w:eastAsia="ru-RU"/>
        </w:rPr>
        <w:t xml:space="preserve">); </w:t>
      </w:r>
    </w:p>
    <w:p w:rsidR="00D1348B" w:rsidRDefault="00D1348B" w:rsidP="00D1348B">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37 (за відповідний період 2019 року – 44); </w:t>
      </w:r>
    </w:p>
    <w:p w:rsidR="00D1348B" w:rsidRDefault="00D1348B" w:rsidP="00D1348B">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3 (за відповідний період 2019 року – 10);</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060 – соціальна політика, соціальний захист – </w:t>
      </w:r>
      <w:r>
        <w:rPr>
          <w:rFonts w:ascii="Times New Roman" w:hAnsi="Times New Roman"/>
          <w:sz w:val="24"/>
          <w:szCs w:val="24"/>
          <w:lang w:eastAsia="ru-RU"/>
        </w:rPr>
        <w:t>567</w:t>
      </w:r>
      <w:r>
        <w:rPr>
          <w:rFonts w:ascii="Times New Roman" w:hAnsi="Times New Roman"/>
          <w:sz w:val="24"/>
          <w:szCs w:val="24"/>
          <w:lang w:val="uk-UA" w:eastAsia="ru-RU"/>
        </w:rPr>
        <w:t xml:space="preserve"> (за відповідний період 2019 року – </w:t>
      </w:r>
      <w:r>
        <w:rPr>
          <w:rFonts w:ascii="Times New Roman" w:hAnsi="Times New Roman"/>
          <w:sz w:val="24"/>
          <w:szCs w:val="24"/>
          <w:lang w:eastAsia="ru-RU"/>
        </w:rPr>
        <w:t>798</w:t>
      </w:r>
      <w:r>
        <w:rPr>
          <w:rFonts w:ascii="Times New Roman" w:hAnsi="Times New Roman"/>
          <w:sz w:val="24"/>
          <w:szCs w:val="24"/>
          <w:lang w:val="uk-UA" w:eastAsia="ru-RU"/>
        </w:rPr>
        <w:t>);</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070 – праця і заробітна плата – </w:t>
      </w:r>
      <w:r>
        <w:rPr>
          <w:rFonts w:ascii="Times New Roman" w:hAnsi="Times New Roman"/>
          <w:sz w:val="24"/>
          <w:szCs w:val="24"/>
          <w:lang w:eastAsia="ru-RU"/>
        </w:rPr>
        <w:t>13</w:t>
      </w:r>
      <w:r>
        <w:rPr>
          <w:rFonts w:ascii="Times New Roman" w:hAnsi="Times New Roman"/>
          <w:sz w:val="24"/>
          <w:szCs w:val="24"/>
          <w:lang w:val="uk-UA" w:eastAsia="ru-RU"/>
        </w:rPr>
        <w:t>4 (за відповідний період 2019 року – 1</w:t>
      </w:r>
      <w:r>
        <w:rPr>
          <w:rFonts w:ascii="Times New Roman" w:hAnsi="Times New Roman"/>
          <w:sz w:val="24"/>
          <w:szCs w:val="24"/>
          <w:lang w:eastAsia="ru-RU"/>
        </w:rPr>
        <w:t>28</w:t>
      </w:r>
      <w:r>
        <w:rPr>
          <w:rFonts w:ascii="Times New Roman" w:hAnsi="Times New Roman"/>
          <w:sz w:val="24"/>
          <w:szCs w:val="24"/>
          <w:lang w:val="uk-UA" w:eastAsia="ru-RU"/>
        </w:rPr>
        <w:t>);</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111 (за відповідний період 2019 року – 62);</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223 (за відповідний період 2019 року – 475);</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49 (за відповідний період 2019 року – 94);</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8 (за відповідний період 2019 року – 10);</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26 (за відповідний період 2019 року – 31);</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24 (за відповідний період</w:t>
      </w:r>
      <w:r>
        <w:rPr>
          <w:rFonts w:ascii="Times New Roman" w:hAnsi="Times New Roman"/>
          <w:sz w:val="24"/>
          <w:szCs w:val="24"/>
          <w:lang w:val="uk-UA" w:eastAsia="ru-RU"/>
        </w:rPr>
        <w:br/>
        <w:t>2019 року – 46);</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1 (за відповідний період 2019 року – 9);</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3 (за відповідний період 2019 року – 4);</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11 (за відповідний період 2019 року – 19);</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1 (за відповідний період 2019 року – 2);</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190 – діяльність об’єднань громадян, релігія та міжконфесійні відносини – 1 (за відповідний період 2019 року – 3); </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- 3 (за відповідний період 2019 року - 2);</w:t>
      </w:r>
    </w:p>
    <w:p w:rsidR="00D1348B" w:rsidRDefault="00D1348B" w:rsidP="00D1348B">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68 (за відповідний період 2019 року – 127).</w:t>
      </w:r>
      <w:r>
        <w:rPr>
          <w:rFonts w:ascii="Times New Roman" w:hAnsi="Times New Roman"/>
          <w:sz w:val="24"/>
          <w:szCs w:val="24"/>
          <w:lang w:val="uk-UA" w:eastAsia="ru-RU"/>
        </w:rPr>
        <w:tab/>
      </w:r>
    </w:p>
    <w:p w:rsidR="00D1348B" w:rsidRDefault="00D1348B" w:rsidP="00D1348B">
      <w:pPr>
        <w:autoSpaceDN w:val="0"/>
        <w:spacing w:after="0" w:line="240" w:lineRule="auto"/>
        <w:ind w:left="-142"/>
        <w:jc w:val="both"/>
        <w:rPr>
          <w:rFonts w:ascii="Times New Roman" w:hAnsi="Times New Roman"/>
          <w:sz w:val="24"/>
          <w:szCs w:val="24"/>
          <w:lang w:val="uk-UA" w:eastAsia="ru-RU"/>
        </w:rPr>
      </w:pPr>
    </w:p>
    <w:p w:rsidR="00D1348B" w:rsidRDefault="00D1348B" w:rsidP="00D1348B">
      <w:pPr>
        <w:autoSpaceDN w:val="0"/>
        <w:spacing w:after="0" w:line="240" w:lineRule="auto"/>
        <w:ind w:left="-709"/>
        <w:jc w:val="both"/>
        <w:rPr>
          <w:rFonts w:ascii="Times New Roman" w:hAnsi="Times New Roman"/>
          <w:i/>
          <w:sz w:val="24"/>
          <w:szCs w:val="24"/>
          <w:lang w:val="uk-UA" w:eastAsia="ru-RU"/>
        </w:rPr>
      </w:pPr>
      <w:r>
        <w:rPr>
          <w:noProof/>
          <w:lang w:eastAsia="ru-RU"/>
        </w:rPr>
        <w:drawing>
          <wp:inline distT="0" distB="0" distL="0" distR="0" wp14:anchorId="2E429225" wp14:editId="4AED5A26">
            <wp:extent cx="6419850" cy="3686175"/>
            <wp:effectExtent l="0" t="0" r="0" b="0"/>
            <wp:docPr id="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1348B" w:rsidRDefault="00D1348B" w:rsidP="00D1348B">
      <w:pPr>
        <w:spacing w:after="0"/>
        <w:ind w:firstLine="709"/>
        <w:rPr>
          <w:rFonts w:ascii="Times New Roman" w:hAnsi="Times New Roman"/>
          <w:sz w:val="24"/>
          <w:szCs w:val="24"/>
          <w:lang w:val="uk-UA" w:eastAsia="ru-RU"/>
        </w:rPr>
      </w:pPr>
      <w:r>
        <w:rPr>
          <w:rFonts w:ascii="Times New Roman" w:hAnsi="Times New Roman"/>
          <w:i/>
          <w:sz w:val="24"/>
          <w:szCs w:val="24"/>
          <w:lang w:val="uk-UA" w:eastAsia="ru-RU"/>
        </w:rPr>
        <w:lastRenderedPageBreak/>
        <w:t>За соціальним станом авторів звернень:</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 272; </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робітників – 77;</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4;</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2;</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10;</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безробітних – 35;</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1074.</w:t>
      </w:r>
    </w:p>
    <w:p w:rsidR="00D1348B" w:rsidRDefault="00D1348B" w:rsidP="00D1348B">
      <w:pPr>
        <w:autoSpaceDN w:val="0"/>
        <w:spacing w:after="0" w:line="240" w:lineRule="auto"/>
        <w:jc w:val="both"/>
        <w:rPr>
          <w:rFonts w:ascii="Times New Roman" w:hAnsi="Times New Roman"/>
          <w:sz w:val="24"/>
          <w:szCs w:val="24"/>
          <w:lang w:val="uk-UA" w:eastAsia="ru-RU"/>
        </w:rPr>
      </w:pPr>
      <w:r>
        <w:rPr>
          <w:noProof/>
          <w:lang w:eastAsia="ru-RU"/>
        </w:rPr>
        <w:drawing>
          <wp:inline distT="0" distB="0" distL="0" distR="0" wp14:anchorId="0EA8534D" wp14:editId="6A906F3C">
            <wp:extent cx="5486400" cy="2847975"/>
            <wp:effectExtent l="0" t="0" r="0" b="0"/>
            <wp:docPr id="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2;</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14;</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Другої світової війни – 1;</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15;</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12;</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31;</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48;</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38;</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39;</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матерів героїнь - 1;</w:t>
      </w:r>
      <w:bookmarkStart w:id="0" w:name="_GoBack"/>
      <w:bookmarkEnd w:id="0"/>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18; </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10;</w:t>
      </w:r>
    </w:p>
    <w:p w:rsidR="00D1348B" w:rsidRDefault="00D1348B" w:rsidP="00D1348B">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1245. </w:t>
      </w:r>
    </w:p>
    <w:p w:rsidR="00D1348B" w:rsidRDefault="00D1348B" w:rsidP="00D1348B">
      <w:pPr>
        <w:autoSpaceDN w:val="0"/>
        <w:spacing w:after="0" w:line="240" w:lineRule="auto"/>
        <w:ind w:left="-1134"/>
        <w:jc w:val="both"/>
        <w:rPr>
          <w:rFonts w:ascii="Times New Roman" w:hAnsi="Times New Roman"/>
          <w:sz w:val="24"/>
          <w:szCs w:val="24"/>
          <w:lang w:val="uk-UA" w:eastAsia="ru-RU"/>
        </w:rPr>
      </w:pPr>
      <w:r>
        <w:rPr>
          <w:noProof/>
          <w:lang w:eastAsia="ru-RU"/>
        </w:rPr>
        <w:drawing>
          <wp:inline distT="0" distB="0" distL="0" distR="0" wp14:anchorId="42084ED4" wp14:editId="53C4E26C">
            <wp:extent cx="6324600" cy="2505075"/>
            <wp:effectExtent l="0" t="0" r="0" b="0"/>
            <wp:docPr id="5"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1348B" w:rsidRDefault="00D1348B" w:rsidP="00D1348B">
      <w:pPr>
        <w:autoSpaceDN w:val="0"/>
        <w:spacing w:after="0" w:line="240" w:lineRule="auto"/>
        <w:ind w:firstLine="709"/>
        <w:jc w:val="both"/>
        <w:rPr>
          <w:rFonts w:ascii="Times New Roman" w:hAnsi="Times New Roman"/>
          <w:sz w:val="24"/>
          <w:szCs w:val="24"/>
          <w:lang w:val="uk-UA" w:eastAsia="ru-RU"/>
        </w:rPr>
      </w:pP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Найактуальнішими та пріоритетними питаннями були питання соціального захисту. Кількість звернень, у яких порушено питання становить – 567 (у порівняні з 2019 роком – 798), найбільше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звітного періоду кількість таких звернень становила – 223 (у порівнянні з аналогічним періодом 2019 року – 475).</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207 звернень (за відповідний період 2019 року надійшло - 225). </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proofErr w:type="spellStart"/>
      <w:r>
        <w:rPr>
          <w:rFonts w:ascii="Times New Roman" w:hAnsi="Times New Roman"/>
          <w:sz w:val="24"/>
          <w:szCs w:val="24"/>
          <w:lang w:eastAsia="ru-RU"/>
        </w:rPr>
        <w:t>Всіх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заявників</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обов</w:t>
      </w:r>
      <w:proofErr w:type="gramStart"/>
      <w:r>
        <w:rPr>
          <w:rFonts w:ascii="Times New Roman" w:hAnsi="Times New Roman"/>
          <w:sz w:val="24"/>
          <w:szCs w:val="24"/>
          <w:lang w:eastAsia="ru-RU"/>
        </w:rPr>
        <w:t>`я</w:t>
      </w:r>
      <w:proofErr w:type="gramEnd"/>
      <w:r>
        <w:rPr>
          <w:rFonts w:ascii="Times New Roman" w:hAnsi="Times New Roman"/>
          <w:sz w:val="24"/>
          <w:szCs w:val="24"/>
          <w:lang w:eastAsia="ru-RU"/>
        </w:rPr>
        <w:t>зково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повідомляють</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письмово</w:t>
      </w:r>
      <w:proofErr w:type="spellEnd"/>
      <w:r>
        <w:rPr>
          <w:rFonts w:ascii="Times New Roman" w:hAnsi="Times New Roman"/>
          <w:sz w:val="24"/>
          <w:szCs w:val="24"/>
          <w:lang w:eastAsia="ru-RU"/>
        </w:rPr>
        <w:t xml:space="preserve"> про </w:t>
      </w:r>
      <w:proofErr w:type="spellStart"/>
      <w:r>
        <w:rPr>
          <w:rFonts w:ascii="Times New Roman" w:hAnsi="Times New Roman"/>
          <w:sz w:val="24"/>
          <w:szCs w:val="24"/>
          <w:lang w:eastAsia="ru-RU"/>
        </w:rPr>
        <w:t>результати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розгляду</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їх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звернень</w:t>
      </w:r>
      <w:proofErr w:type="spellEnd"/>
      <w:r>
        <w:rPr>
          <w:rFonts w:ascii="Times New Roman" w:hAnsi="Times New Roman"/>
          <w:sz w:val="24"/>
          <w:szCs w:val="24"/>
          <w:lang w:eastAsia="ru-RU"/>
        </w:rPr>
        <w:t xml:space="preserve"> у </w:t>
      </w:r>
      <w:proofErr w:type="spellStart"/>
      <w:r>
        <w:rPr>
          <w:rFonts w:ascii="Times New Roman" w:hAnsi="Times New Roman"/>
          <w:sz w:val="24"/>
          <w:szCs w:val="24"/>
          <w:lang w:eastAsia="ru-RU"/>
        </w:rPr>
        <w:t>терміни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визначені</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законодавством</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України</w:t>
      </w:r>
      <w:proofErr w:type="spellEnd"/>
      <w:r>
        <w:rPr>
          <w:rFonts w:ascii="Times New Roman" w:hAnsi="Times New Roman"/>
          <w:sz w:val="24"/>
          <w:szCs w:val="24"/>
          <w:lang w:eastAsia="ru-RU"/>
        </w:rPr>
        <w:t>.</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648 письмових звернень громадян.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 звітний період територіальним центром соціального обслуговування (надання соціальних послуг) м. Знам’янка 12 осіб забезпечені інвалідними візками, ходунками, милицями з пункту прокату. «Соціальним таксі» виконано 174 замовлень.</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Обстежено житлово-побутові умови проживання 162 пенсіонерів та осіб з інвалідністю, з них 83 особи,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73 особам. З метою контролю якості обслуговування та визначення ступеня індивідуальних потреб здійснені обстеження умов проживання 243 осіб, які перебувають на обліку територіального центру.</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Центрі соціальних та компенсаційних виплат  нараховується </w:t>
      </w:r>
      <w:r>
        <w:rPr>
          <w:rFonts w:ascii="Times New Roman" w:eastAsia="Times New Roman" w:hAnsi="Times New Roman"/>
          <w:sz w:val="24"/>
          <w:szCs w:val="24"/>
          <w:lang w:eastAsia="ru-RU"/>
        </w:rPr>
        <w:t xml:space="preserve"> 6040 </w:t>
      </w:r>
      <w:r>
        <w:rPr>
          <w:rFonts w:ascii="Times New Roman" w:eastAsia="Times New Roman" w:hAnsi="Times New Roman"/>
          <w:sz w:val="24"/>
          <w:szCs w:val="24"/>
          <w:lang w:val="uk-UA" w:eastAsia="ru-RU"/>
        </w:rPr>
        <w:t xml:space="preserve"> отримувачів адресних допомог, в тому числі: адресних соціальних допомог – </w:t>
      </w:r>
      <w:r>
        <w:rPr>
          <w:rFonts w:ascii="Times New Roman" w:eastAsia="Times New Roman" w:hAnsi="Times New Roman"/>
          <w:sz w:val="24"/>
          <w:szCs w:val="24"/>
          <w:lang w:eastAsia="ru-RU"/>
        </w:rPr>
        <w:t>2097</w:t>
      </w:r>
      <w:r>
        <w:rPr>
          <w:rFonts w:ascii="Times New Roman" w:eastAsia="Times New Roman" w:hAnsi="Times New Roman"/>
          <w:sz w:val="24"/>
          <w:szCs w:val="24"/>
          <w:lang w:val="uk-UA" w:eastAsia="ru-RU"/>
        </w:rPr>
        <w:t xml:space="preserve">, субсидій – </w:t>
      </w:r>
      <w:r>
        <w:rPr>
          <w:rFonts w:ascii="Times New Roman" w:eastAsia="Times New Roman" w:hAnsi="Times New Roman"/>
          <w:sz w:val="24"/>
          <w:szCs w:val="24"/>
          <w:lang w:eastAsia="ru-RU"/>
        </w:rPr>
        <w:t>3618</w:t>
      </w: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197</w:t>
      </w:r>
      <w:r>
        <w:rPr>
          <w:rFonts w:ascii="Times New Roman" w:eastAsia="Times New Roman" w:hAnsi="Times New Roman"/>
          <w:sz w:val="24"/>
          <w:szCs w:val="24"/>
          <w:lang w:val="uk-UA" w:eastAsia="ru-RU"/>
        </w:rPr>
        <w:t>, допомога переміщеним особам – 128.</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Згідно Законів України «Про державну допомогу сім’ям з дітьми» та  «Державну соціальну допомогу малозабезпеченим  сім’ям» призначено 1584 допомог на суму 52297.99 тис. грн., у тому числі державну соціальну допомогу дітям з інвалідністю та особам з інвалідністю з дитинства І-ІІІ груп отримали  440 осіб на суму 10713.67 тис. грн., тимчасову допомогу сім’ям з дітьми (замість аліментів) –11 осіб на суму 345.79 тис. грн. Допомогу по догляду за психічно-хворими особами з інвалідністю І та ІІ груп отримують </w:t>
      </w:r>
      <w:r>
        <w:rPr>
          <w:rFonts w:ascii="Times New Roman" w:eastAsia="Times New Roman" w:hAnsi="Times New Roman"/>
          <w:sz w:val="24"/>
          <w:szCs w:val="24"/>
          <w:lang w:eastAsia="ru-RU"/>
        </w:rPr>
        <w:t>66</w:t>
      </w:r>
      <w:r>
        <w:rPr>
          <w:rFonts w:ascii="Times New Roman" w:eastAsia="Times New Roman" w:hAnsi="Times New Roman"/>
          <w:sz w:val="24"/>
          <w:szCs w:val="24"/>
          <w:lang w:val="uk-UA" w:eastAsia="ru-RU"/>
        </w:rPr>
        <w:t xml:space="preserve"> осіб.</w:t>
      </w:r>
    </w:p>
    <w:p w:rsidR="00D1348B" w:rsidRDefault="00D1348B" w:rsidP="00D1348B">
      <w:pPr>
        <w:spacing w:after="0" w:line="240" w:lineRule="auto"/>
        <w:ind w:firstLine="709"/>
        <w:jc w:val="both"/>
        <w:rPr>
          <w:rFonts w:ascii="Times New Roman" w:hAnsi="Times New Roman" w:cs="Calibri"/>
          <w:sz w:val="24"/>
          <w:szCs w:val="24"/>
          <w:lang w:val="uk-UA"/>
        </w:rPr>
      </w:pPr>
      <w:r>
        <w:rPr>
          <w:rFonts w:ascii="Times New Roman" w:hAnsi="Times New Roman" w:cs="Calibri"/>
          <w:sz w:val="24"/>
          <w:szCs w:val="24"/>
          <w:lang w:val="uk-UA"/>
        </w:rPr>
        <w:t>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21319,58 тис. грн.</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На обліку в УСЗН перебуває 271 внутрішньо переміщена особа з тимчасово окупованої території України та районів проведення АТО. Довідки про взяття на облік видано 52</w:t>
      </w:r>
      <w:r>
        <w:rPr>
          <w:rFonts w:ascii="Times New Roman" w:eastAsia="Times New Roman" w:hAnsi="Times New Roman"/>
          <w:sz w:val="24"/>
          <w:szCs w:val="24"/>
          <w:lang w:eastAsia="ru-RU"/>
        </w:rPr>
        <w:t>7</w:t>
      </w:r>
      <w:r>
        <w:rPr>
          <w:rFonts w:ascii="Times New Roman" w:eastAsia="Times New Roman" w:hAnsi="Times New Roman"/>
          <w:sz w:val="24"/>
          <w:szCs w:val="24"/>
          <w:lang w:val="uk-UA" w:eastAsia="ru-RU"/>
        </w:rPr>
        <w:t xml:space="preserve"> особам. </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Відповідно до постанови Кабінету Міністрів Україна від 01.10.2014 р.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таку допомогу отримують 8</w:t>
      </w:r>
      <w:r>
        <w:rPr>
          <w:rFonts w:ascii="Times New Roman" w:eastAsia="Times New Roman" w:hAnsi="Times New Roman"/>
          <w:sz w:val="24"/>
          <w:szCs w:val="24"/>
          <w:lang w:eastAsia="ru-RU"/>
        </w:rPr>
        <w:t>5</w:t>
      </w:r>
      <w:r>
        <w:rPr>
          <w:rFonts w:ascii="Times New Roman" w:eastAsia="Times New Roman" w:hAnsi="Times New Roman"/>
          <w:sz w:val="24"/>
          <w:szCs w:val="24"/>
          <w:lang w:val="uk-UA" w:eastAsia="ru-RU"/>
        </w:rPr>
        <w:t xml:space="preserve"> сімей (12</w:t>
      </w:r>
      <w:r>
        <w:rPr>
          <w:rFonts w:ascii="Times New Roman" w:eastAsia="Times New Roman" w:hAnsi="Times New Roman"/>
          <w:sz w:val="24"/>
          <w:szCs w:val="24"/>
          <w:lang w:eastAsia="ru-RU"/>
        </w:rPr>
        <w:t>6</w:t>
      </w:r>
      <w:r>
        <w:rPr>
          <w:rFonts w:ascii="Times New Roman" w:eastAsia="Times New Roman" w:hAnsi="Times New Roman"/>
          <w:sz w:val="24"/>
          <w:szCs w:val="24"/>
          <w:lang w:val="uk-UA" w:eastAsia="ru-RU"/>
        </w:rPr>
        <w:t xml:space="preserve"> осіб), з початку року  виплачено </w:t>
      </w:r>
      <w:r>
        <w:rPr>
          <w:rFonts w:ascii="Times New Roman" w:eastAsia="Times New Roman" w:hAnsi="Times New Roman"/>
          <w:sz w:val="24"/>
          <w:szCs w:val="24"/>
          <w:lang w:eastAsia="ru-RU"/>
        </w:rPr>
        <w:t>1383.3</w:t>
      </w:r>
      <w:r>
        <w:rPr>
          <w:rFonts w:ascii="Times New Roman" w:eastAsia="Times New Roman" w:hAnsi="Times New Roman"/>
          <w:sz w:val="24"/>
          <w:szCs w:val="24"/>
          <w:lang w:val="uk-UA" w:eastAsia="ru-RU"/>
        </w:rPr>
        <w:t xml:space="preserve"> тис. грн.</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управління перебуває 1 прийомна сім’я, що отримують допомогу за принципом «гроші ходять за дитиною», 5 дитячих будинків сімейного типу, 1 патронатна сім’я. За звітний період цим сім’ям виплачено 3809,95тис. грн. </w:t>
      </w:r>
    </w:p>
    <w:p w:rsidR="00D1348B" w:rsidRDefault="00D1348B" w:rsidP="00D1348B">
      <w:pPr>
        <w:spacing w:after="0" w:line="240" w:lineRule="auto"/>
        <w:ind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умовах карантину, в межах чинного законодавства, управління здійснює прийом громадян в обмеженому доступі.</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Протягом року було проведено 13 засідань міської постійно діючої комісії виконавчого комітету Знам’янської міської ради з питань розгляду звернень громадян, згідно графіку. </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За результатами проведених перевірок складено довідки та розглянуто їх на засіданнях комісії.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заявникам.</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громадян та своєчасне інформування заявників про результати розгляду, так протягом 2020 року:</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634</w:t>
      </w:r>
      <w:r>
        <w:rPr>
          <w:rFonts w:ascii="Times New Roman" w:hAnsi="Times New Roman"/>
          <w:sz w:val="24"/>
          <w:szCs w:val="24"/>
          <w:lang w:eastAsia="ru-RU"/>
        </w:rPr>
        <w:t xml:space="preserve"> - позитивно </w:t>
      </w:r>
      <w:proofErr w:type="spellStart"/>
      <w:r>
        <w:rPr>
          <w:rFonts w:ascii="Times New Roman" w:hAnsi="Times New Roman"/>
          <w:sz w:val="24"/>
          <w:szCs w:val="24"/>
          <w:lang w:eastAsia="ru-RU"/>
        </w:rPr>
        <w:t>вирішенних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звернень</w:t>
      </w:r>
      <w:proofErr w:type="spellEnd"/>
      <w:r>
        <w:rPr>
          <w:rFonts w:ascii="Times New Roman" w:hAnsi="Times New Roman"/>
          <w:sz w:val="24"/>
          <w:szCs w:val="24"/>
          <w:lang w:val="uk-UA" w:eastAsia="ru-RU"/>
        </w:rPr>
        <w:t>;</w:t>
      </w:r>
    </w:p>
    <w:p w:rsidR="00D1348B" w:rsidRDefault="00D1348B" w:rsidP="00D1348B">
      <w:pPr>
        <w:autoSpaceDN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val="uk-UA" w:eastAsia="ru-RU"/>
        </w:rPr>
        <w:t>773</w:t>
      </w:r>
      <w:r>
        <w:rPr>
          <w:rFonts w:ascii="Times New Roman" w:hAnsi="Times New Roman"/>
          <w:sz w:val="24"/>
          <w:szCs w:val="24"/>
          <w:lang w:eastAsia="ru-RU"/>
        </w:rPr>
        <w:t xml:space="preserve"> – дано </w:t>
      </w:r>
      <w:proofErr w:type="spellStart"/>
      <w:r>
        <w:rPr>
          <w:rFonts w:ascii="Times New Roman" w:hAnsi="Times New Roman"/>
          <w:sz w:val="24"/>
          <w:szCs w:val="24"/>
          <w:lang w:eastAsia="ru-RU"/>
        </w:rPr>
        <w:t>роз’яснення</w:t>
      </w:r>
      <w:proofErr w:type="spellEnd"/>
      <w:r>
        <w:rPr>
          <w:rFonts w:ascii="Times New Roman" w:hAnsi="Times New Roman"/>
          <w:sz w:val="24"/>
          <w:szCs w:val="24"/>
          <w:lang w:eastAsia="ru-RU"/>
        </w:rPr>
        <w:t>;</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67</w:t>
      </w:r>
      <w:r>
        <w:rPr>
          <w:rFonts w:ascii="Times New Roman" w:hAnsi="Times New Roman"/>
          <w:sz w:val="24"/>
          <w:szCs w:val="24"/>
          <w:lang w:eastAsia="ru-RU"/>
        </w:rPr>
        <w:t xml:space="preserve"> – заходи </w:t>
      </w:r>
      <w:proofErr w:type="spellStart"/>
      <w:r>
        <w:rPr>
          <w:rFonts w:ascii="Times New Roman" w:hAnsi="Times New Roman"/>
          <w:sz w:val="24"/>
          <w:szCs w:val="24"/>
          <w:lang w:eastAsia="ru-RU"/>
        </w:rPr>
        <w:t>вживаються</w:t>
      </w:r>
      <w:proofErr w:type="spellEnd"/>
      <w:r>
        <w:rPr>
          <w:rFonts w:ascii="Times New Roman" w:hAnsi="Times New Roman"/>
          <w:sz w:val="24"/>
          <w:szCs w:val="24"/>
          <w:lang w:eastAsia="ru-RU"/>
        </w:rPr>
        <w:t>.</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 з законом України «Про доступ до публічної інформації». Так, протягом 2020 року запитів на отримання публічної інформації було зареєстровано – 97, за відповідний період 2019 року – 177 запитів.</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Надійшло за</w:t>
      </w:r>
      <w:proofErr w:type="spellStart"/>
      <w:r>
        <w:rPr>
          <w:rFonts w:ascii="Times New Roman" w:hAnsi="Times New Roman"/>
          <w:sz w:val="24"/>
          <w:szCs w:val="24"/>
          <w:lang w:eastAsia="ru-RU"/>
        </w:rPr>
        <w:t>питів</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від</w:t>
      </w:r>
      <w:proofErr w:type="spellEnd"/>
      <w:r>
        <w:rPr>
          <w:rFonts w:ascii="Times New Roman" w:hAnsi="Times New Roman"/>
          <w:sz w:val="24"/>
          <w:szCs w:val="24"/>
          <w:lang w:eastAsia="ru-RU"/>
        </w:rPr>
        <w:t>:</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proofErr w:type="spellStart"/>
      <w:r>
        <w:rPr>
          <w:rFonts w:ascii="Times New Roman" w:hAnsi="Times New Roman"/>
          <w:sz w:val="24"/>
          <w:szCs w:val="24"/>
          <w:lang w:eastAsia="ru-RU"/>
        </w:rPr>
        <w:t>громадян</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України</w:t>
      </w:r>
      <w:proofErr w:type="spellEnd"/>
      <w:r>
        <w:rPr>
          <w:rFonts w:ascii="Times New Roman" w:hAnsi="Times New Roman"/>
          <w:sz w:val="24"/>
          <w:szCs w:val="24"/>
          <w:lang w:eastAsia="ru-RU"/>
        </w:rPr>
        <w:t xml:space="preserve"> –</w:t>
      </w:r>
      <w:r>
        <w:rPr>
          <w:rFonts w:ascii="Times New Roman" w:hAnsi="Times New Roman"/>
          <w:sz w:val="24"/>
          <w:szCs w:val="24"/>
          <w:lang w:val="uk-UA" w:eastAsia="ru-RU"/>
        </w:rPr>
        <w:t xml:space="preserve"> </w:t>
      </w:r>
      <w:r>
        <w:rPr>
          <w:rFonts w:ascii="Times New Roman" w:hAnsi="Times New Roman"/>
          <w:sz w:val="24"/>
          <w:szCs w:val="24"/>
          <w:lang w:eastAsia="ru-RU"/>
        </w:rPr>
        <w:t>83;</w:t>
      </w:r>
    </w:p>
    <w:p w:rsidR="00D1348B" w:rsidRDefault="00D1348B" w:rsidP="00D1348B">
      <w:pPr>
        <w:autoSpaceDN w:val="0"/>
        <w:spacing w:after="0" w:line="240" w:lineRule="auto"/>
        <w:ind w:firstLine="708"/>
        <w:jc w:val="both"/>
        <w:rPr>
          <w:rFonts w:ascii="Times New Roman" w:hAnsi="Times New Roman"/>
          <w:sz w:val="24"/>
          <w:szCs w:val="24"/>
          <w:lang w:eastAsia="ru-RU"/>
        </w:rPr>
      </w:pPr>
      <w:proofErr w:type="spellStart"/>
      <w:r>
        <w:rPr>
          <w:rFonts w:ascii="Times New Roman" w:hAnsi="Times New Roman"/>
          <w:sz w:val="24"/>
          <w:szCs w:val="24"/>
          <w:lang w:eastAsia="ru-RU"/>
        </w:rPr>
        <w:t>юридичних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осіб</w:t>
      </w:r>
      <w:proofErr w:type="spellEnd"/>
      <w:r>
        <w:rPr>
          <w:rFonts w:ascii="Times New Roman" w:hAnsi="Times New Roman"/>
          <w:sz w:val="24"/>
          <w:szCs w:val="24"/>
          <w:lang w:eastAsia="ru-RU"/>
        </w:rPr>
        <w:t xml:space="preserve">, </w:t>
      </w:r>
      <w:proofErr w:type="spellStart"/>
      <w:proofErr w:type="gramStart"/>
      <w:r>
        <w:rPr>
          <w:rFonts w:ascii="Times New Roman" w:hAnsi="Times New Roman"/>
          <w:sz w:val="24"/>
          <w:szCs w:val="24"/>
          <w:lang w:eastAsia="ru-RU"/>
        </w:rPr>
        <w:t>п</w:t>
      </w:r>
      <w:proofErr w:type="gramEnd"/>
      <w:r>
        <w:rPr>
          <w:rFonts w:ascii="Times New Roman" w:hAnsi="Times New Roman"/>
          <w:sz w:val="24"/>
          <w:szCs w:val="24"/>
          <w:lang w:eastAsia="ru-RU"/>
        </w:rPr>
        <w:t>ідприємств</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установ</w:t>
      </w:r>
      <w:proofErr w:type="spellEnd"/>
      <w:r>
        <w:rPr>
          <w:rFonts w:ascii="Times New Roman" w:hAnsi="Times New Roman"/>
          <w:sz w:val="24"/>
          <w:szCs w:val="24"/>
          <w:lang w:eastAsia="ru-RU"/>
        </w:rPr>
        <w:t xml:space="preserve"> та </w:t>
      </w:r>
      <w:proofErr w:type="spellStart"/>
      <w:r>
        <w:rPr>
          <w:rFonts w:ascii="Times New Roman" w:hAnsi="Times New Roman"/>
          <w:sz w:val="24"/>
          <w:szCs w:val="24"/>
          <w:lang w:eastAsia="ru-RU"/>
        </w:rPr>
        <w:t>організацій</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міста</w:t>
      </w:r>
      <w:proofErr w:type="spellEnd"/>
      <w:r>
        <w:rPr>
          <w:rFonts w:ascii="Times New Roman" w:hAnsi="Times New Roman"/>
          <w:sz w:val="24"/>
          <w:szCs w:val="24"/>
          <w:lang w:eastAsia="ru-RU"/>
        </w:rPr>
        <w:t xml:space="preserve"> – 14.</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Виконавцями запитів є:</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УМА та ЖКГ – 24;</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організаційно кадрової роботи – 19;</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освіти – 14;</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eastAsia="ru-RU"/>
        </w:rPr>
        <w:t xml:space="preserve">відділ </w:t>
      </w:r>
      <w:proofErr w:type="spellStart"/>
      <w:r>
        <w:rPr>
          <w:rFonts w:ascii="Times New Roman" w:hAnsi="Times New Roman"/>
          <w:sz w:val="24"/>
          <w:szCs w:val="24"/>
          <w:lang w:eastAsia="ru-RU"/>
        </w:rPr>
        <w:t>фінансово-господарського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забезпечення</w:t>
      </w:r>
      <w:proofErr w:type="spellEnd"/>
      <w:r>
        <w:rPr>
          <w:rFonts w:ascii="Times New Roman" w:hAnsi="Times New Roman"/>
          <w:sz w:val="24"/>
          <w:szCs w:val="24"/>
          <w:lang w:val="uk-UA" w:eastAsia="ru-RU"/>
        </w:rPr>
        <w:t xml:space="preserve"> – 7;</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eastAsia="ru-RU"/>
        </w:rPr>
        <w:t xml:space="preserve">відділ </w:t>
      </w:r>
      <w:proofErr w:type="spellStart"/>
      <w:r>
        <w:rPr>
          <w:rFonts w:ascii="Times New Roman" w:hAnsi="Times New Roman"/>
          <w:sz w:val="24"/>
          <w:szCs w:val="24"/>
          <w:lang w:eastAsia="ru-RU"/>
        </w:rPr>
        <w:t>молоді</w:t>
      </w:r>
      <w:proofErr w:type="spellEnd"/>
      <w:r>
        <w:rPr>
          <w:rFonts w:ascii="Times New Roman" w:hAnsi="Times New Roman"/>
          <w:sz w:val="24"/>
          <w:szCs w:val="24"/>
          <w:lang w:eastAsia="ru-RU"/>
        </w:rPr>
        <w:t xml:space="preserve">, спорту та </w:t>
      </w:r>
      <w:proofErr w:type="spellStart"/>
      <w:r>
        <w:rPr>
          <w:rFonts w:ascii="Times New Roman" w:hAnsi="Times New Roman"/>
          <w:sz w:val="24"/>
          <w:szCs w:val="24"/>
          <w:lang w:eastAsia="ru-RU"/>
        </w:rPr>
        <w:t>охорони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здоров’я</w:t>
      </w:r>
      <w:proofErr w:type="spellEnd"/>
      <w:r>
        <w:rPr>
          <w:rFonts w:ascii="Times New Roman" w:hAnsi="Times New Roman"/>
          <w:sz w:val="24"/>
          <w:szCs w:val="24"/>
          <w:lang w:val="uk-UA" w:eastAsia="ru-RU"/>
        </w:rPr>
        <w:t xml:space="preserve"> – 6;</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управління соціального захисту населення – 5;</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загальний, контролю та роботи із зверненнями громадян – 5;</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proofErr w:type="spellStart"/>
      <w:r>
        <w:rPr>
          <w:rFonts w:ascii="Times New Roman" w:hAnsi="Times New Roman"/>
          <w:sz w:val="24"/>
          <w:szCs w:val="24"/>
          <w:lang w:eastAsia="ru-RU"/>
        </w:rPr>
        <w:t>юридичний</w:t>
      </w:r>
      <w:proofErr w:type="spellEnd"/>
      <w:r>
        <w:rPr>
          <w:rFonts w:ascii="Times New Roman" w:hAnsi="Times New Roman"/>
          <w:sz w:val="24"/>
          <w:szCs w:val="24"/>
          <w:lang w:eastAsia="ru-RU"/>
        </w:rPr>
        <w:t xml:space="preserve"> відділ</w:t>
      </w:r>
      <w:r>
        <w:rPr>
          <w:rFonts w:ascii="Times New Roman" w:hAnsi="Times New Roman"/>
          <w:sz w:val="24"/>
          <w:szCs w:val="24"/>
          <w:lang w:val="uk-UA" w:eastAsia="ru-RU"/>
        </w:rPr>
        <w:t xml:space="preserve"> – 4;</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земельних питань – 4;</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eastAsia="ru-RU"/>
        </w:rPr>
        <w:t xml:space="preserve">відділ </w:t>
      </w:r>
      <w:proofErr w:type="spellStart"/>
      <w:r>
        <w:rPr>
          <w:rFonts w:ascii="Times New Roman" w:hAnsi="Times New Roman"/>
          <w:sz w:val="24"/>
          <w:szCs w:val="24"/>
          <w:lang w:eastAsia="ru-RU"/>
        </w:rPr>
        <w:t>економічного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розвитку</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промисловості</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інфраструктури</w:t>
      </w:r>
      <w:proofErr w:type="spellEnd"/>
      <w:r>
        <w:rPr>
          <w:rFonts w:ascii="Times New Roman" w:hAnsi="Times New Roman"/>
          <w:sz w:val="24"/>
          <w:szCs w:val="24"/>
          <w:lang w:eastAsia="ru-RU"/>
        </w:rPr>
        <w:t xml:space="preserve"> та </w:t>
      </w:r>
      <w:proofErr w:type="spellStart"/>
      <w:r>
        <w:rPr>
          <w:rFonts w:ascii="Times New Roman" w:hAnsi="Times New Roman"/>
          <w:sz w:val="24"/>
          <w:szCs w:val="24"/>
          <w:lang w:eastAsia="ru-RU"/>
        </w:rPr>
        <w:t>торгі</w:t>
      </w:r>
      <w:proofErr w:type="gramStart"/>
      <w:r>
        <w:rPr>
          <w:rFonts w:ascii="Times New Roman" w:hAnsi="Times New Roman"/>
          <w:sz w:val="24"/>
          <w:szCs w:val="24"/>
          <w:lang w:eastAsia="ru-RU"/>
        </w:rPr>
        <w:t>вл</w:t>
      </w:r>
      <w:proofErr w:type="gramEnd"/>
      <w:r>
        <w:rPr>
          <w:rFonts w:ascii="Times New Roman" w:hAnsi="Times New Roman"/>
          <w:sz w:val="24"/>
          <w:szCs w:val="24"/>
          <w:lang w:eastAsia="ru-RU"/>
        </w:rPr>
        <w:t>і</w:t>
      </w:r>
      <w:proofErr w:type="spellEnd"/>
      <w:r>
        <w:rPr>
          <w:rFonts w:ascii="Times New Roman" w:hAnsi="Times New Roman"/>
          <w:sz w:val="24"/>
          <w:szCs w:val="24"/>
          <w:lang w:eastAsia="ru-RU"/>
        </w:rPr>
        <w:t xml:space="preserve"> – </w:t>
      </w:r>
      <w:r>
        <w:rPr>
          <w:rFonts w:ascii="Times New Roman" w:hAnsi="Times New Roman"/>
          <w:sz w:val="24"/>
          <w:szCs w:val="24"/>
          <w:lang w:val="uk-UA" w:eastAsia="ru-RU"/>
        </w:rPr>
        <w:t>3</w:t>
      </w:r>
      <w:r>
        <w:rPr>
          <w:rFonts w:ascii="Times New Roman" w:hAnsi="Times New Roman"/>
          <w:sz w:val="24"/>
          <w:szCs w:val="24"/>
          <w:lang w:eastAsia="ru-RU"/>
        </w:rPr>
        <w:t>;</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інформаційної діяльності та комунікацій з громадськістю – 3;</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забезпечення діяльності міської ради -2;</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центр надання адміністративних послуг – 1;</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служба у справах дітей – 1.</w:t>
      </w:r>
    </w:p>
    <w:p w:rsidR="00D1348B" w:rsidRDefault="00D1348B" w:rsidP="00D1348B">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Запити, подані в порядку Закону України «Про доступ до публічної інформації» як поштою, так і електронним зв’язком, розглянуті у відповідний строк.</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З метою забезпечення інформованості громадськості про стан роботи зі зверненнями громадян на офіційному веб-сайті Знам’янської міської ради у розділі </w:t>
      </w:r>
      <w:r>
        <w:rPr>
          <w:rFonts w:ascii="Times New Roman" w:hAnsi="Times New Roman"/>
          <w:sz w:val="24"/>
          <w:szCs w:val="24"/>
          <w:lang w:val="uk-UA" w:eastAsia="ru-RU"/>
        </w:rPr>
        <w:lastRenderedPageBreak/>
        <w:t>«Звернення громадян» щокварталу оприлюднюються узагальнені відомості про організацію роботи із зверненнями громадян.</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що надходять до виконавчого комітету Знам’янської міської ради,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D1348B" w:rsidRDefault="00D1348B" w:rsidP="00D1348B">
      <w:pPr>
        <w:autoSpaceDN w:val="0"/>
        <w:spacing w:after="0" w:line="240" w:lineRule="auto"/>
        <w:ind w:firstLine="709"/>
        <w:jc w:val="both"/>
        <w:rPr>
          <w:rFonts w:ascii="Times New Roman" w:hAnsi="Times New Roman"/>
          <w:sz w:val="24"/>
          <w:szCs w:val="24"/>
          <w:lang w:val="uk-UA" w:eastAsia="ru-RU"/>
        </w:rPr>
      </w:pPr>
    </w:p>
    <w:p w:rsidR="00D1348B" w:rsidRDefault="00D1348B" w:rsidP="00D1348B">
      <w:pPr>
        <w:autoSpaceDN w:val="0"/>
        <w:spacing w:after="0" w:line="240" w:lineRule="auto"/>
        <w:jc w:val="both"/>
        <w:rPr>
          <w:rFonts w:ascii="Times New Roman" w:hAnsi="Times New Roman"/>
          <w:sz w:val="24"/>
          <w:szCs w:val="24"/>
          <w:lang w:val="uk-UA" w:eastAsia="ru-RU"/>
        </w:rPr>
      </w:pPr>
    </w:p>
    <w:p w:rsidR="00D1348B" w:rsidRDefault="00D1348B" w:rsidP="00D1348B">
      <w:pPr>
        <w:autoSpaceDN w:val="0"/>
        <w:spacing w:after="0" w:line="240" w:lineRule="auto"/>
        <w:jc w:val="both"/>
        <w:rPr>
          <w:rFonts w:ascii="Times New Roman" w:hAnsi="Times New Roman"/>
          <w:sz w:val="24"/>
          <w:szCs w:val="24"/>
          <w:lang w:val="uk-UA" w:eastAsia="ru-RU"/>
        </w:rPr>
      </w:pPr>
    </w:p>
    <w:p w:rsidR="00D1348B" w:rsidRDefault="00D1348B" w:rsidP="00D1348B">
      <w:pPr>
        <w:autoSpaceDN w:val="0"/>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Начальник відділу загального, контролю</w:t>
      </w:r>
    </w:p>
    <w:p w:rsidR="00D1348B" w:rsidRDefault="00D1348B" w:rsidP="00D1348B">
      <w:pPr>
        <w:tabs>
          <w:tab w:val="left" w:pos="6946"/>
        </w:tabs>
        <w:autoSpaceDN w:val="0"/>
        <w:spacing w:after="0" w:line="240" w:lineRule="auto"/>
        <w:jc w:val="both"/>
        <w:rPr>
          <w:lang w:val="uk-UA"/>
        </w:rPr>
      </w:pPr>
      <w:r>
        <w:rPr>
          <w:rFonts w:ascii="Times New Roman" w:hAnsi="Times New Roman"/>
          <w:b/>
          <w:sz w:val="24"/>
          <w:szCs w:val="24"/>
          <w:lang w:val="uk-UA" w:eastAsia="ru-RU"/>
        </w:rPr>
        <w:t>та роботи із зверненнями громадян</w:t>
      </w:r>
      <w:r>
        <w:rPr>
          <w:rFonts w:ascii="Times New Roman" w:hAnsi="Times New Roman"/>
          <w:b/>
          <w:sz w:val="24"/>
          <w:szCs w:val="24"/>
          <w:lang w:val="uk-UA" w:eastAsia="ru-RU"/>
        </w:rPr>
        <w:tab/>
        <w:t>Олена ГРИГОР’ЄВА</w:t>
      </w:r>
    </w:p>
    <w:p w:rsidR="00876650" w:rsidRPr="00D1348B" w:rsidRDefault="00876650">
      <w:pPr>
        <w:rPr>
          <w:lang w:val="uk-UA"/>
        </w:rPr>
      </w:pPr>
    </w:p>
    <w:sectPr w:rsidR="00876650" w:rsidRPr="00D134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48B"/>
    <w:rsid w:val="003A756A"/>
    <w:rsid w:val="00876650"/>
    <w:rsid w:val="00D13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48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4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48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48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4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48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64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Загальна кількість звернень у 2020 р. в порівнянні з 2019 р.</a:t>
            </a:r>
          </a:p>
        </c:rich>
      </c:tx>
      <c:overlay val="0"/>
    </c:title>
    <c:autoTitleDeleted val="0"/>
    <c:plotArea>
      <c:layout/>
      <c:barChart>
        <c:barDir val="col"/>
        <c:grouping val="clustered"/>
        <c:varyColors val="0"/>
        <c:ser>
          <c:idx val="0"/>
          <c:order val="0"/>
          <c:tx>
            <c:strRef>
              <c:f>Лист1!$B$1</c:f>
              <c:strCache>
                <c:ptCount val="1"/>
                <c:pt idx="0">
                  <c:v>Загальна кількість звернень у порівнянні з 2019 р.</c:v>
                </c:pt>
              </c:strCache>
            </c:strRef>
          </c:tx>
          <c:spPr>
            <a:solidFill>
              <a:srgbClr val="FF0000"/>
            </a:solidFill>
          </c:spPr>
          <c:invertIfNegative val="0"/>
          <c:dPt>
            <c:idx val="0"/>
            <c:invertIfNegative val="0"/>
            <c:bubble3D val="0"/>
            <c:spPr>
              <a:solidFill>
                <a:srgbClr val="0070C0"/>
              </a:solidFill>
            </c:spPr>
          </c:dPt>
          <c:dLbls>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Лист1!$A$2:$A$4</c:f>
              <c:strCache>
                <c:ptCount val="3"/>
                <c:pt idx="0">
                  <c:v>2020 рік</c:v>
                </c:pt>
                <c:pt idx="2">
                  <c:v>2019 рік</c:v>
                </c:pt>
              </c:strCache>
            </c:strRef>
          </c:cat>
          <c:val>
            <c:numRef>
              <c:f>Лист1!$B$2:$B$4</c:f>
              <c:numCache>
                <c:formatCode>General</c:formatCode>
                <c:ptCount val="3"/>
                <c:pt idx="0">
                  <c:v>1474</c:v>
                </c:pt>
                <c:pt idx="2">
                  <c:v>2073</c:v>
                </c:pt>
              </c:numCache>
            </c:numRef>
          </c:val>
        </c:ser>
        <c:dLbls>
          <c:showLegendKey val="0"/>
          <c:showVal val="0"/>
          <c:showCatName val="0"/>
          <c:showSerName val="0"/>
          <c:showPercent val="0"/>
          <c:showBubbleSize val="0"/>
        </c:dLbls>
        <c:gapWidth val="150"/>
        <c:axId val="228026880"/>
        <c:axId val="307985152"/>
      </c:barChart>
      <c:catAx>
        <c:axId val="228026880"/>
        <c:scaling>
          <c:orientation val="minMax"/>
        </c:scaling>
        <c:delete val="0"/>
        <c:axPos val="b"/>
        <c:majorTickMark val="out"/>
        <c:minorTickMark val="none"/>
        <c:tickLblPos val="nextTo"/>
        <c:txPr>
          <a:bodyPr/>
          <a:lstStyle/>
          <a:p>
            <a:pPr>
              <a:defRPr b="1">
                <a:latin typeface="Times New Roman" pitchFamily="18" charset="0"/>
                <a:cs typeface="Times New Roman" pitchFamily="18" charset="0"/>
              </a:defRPr>
            </a:pPr>
            <a:endParaRPr lang="ru-RU"/>
          </a:p>
        </c:txPr>
        <c:crossAx val="307985152"/>
        <c:crosses val="autoZero"/>
        <c:auto val="1"/>
        <c:lblAlgn val="ctr"/>
        <c:lblOffset val="100"/>
        <c:noMultiLvlLbl val="0"/>
      </c:catAx>
      <c:valAx>
        <c:axId val="307985152"/>
        <c:scaling>
          <c:orientation val="minMax"/>
        </c:scaling>
        <c:delete val="1"/>
        <c:axPos val="l"/>
        <c:majorGridlines/>
        <c:numFmt formatCode="General" sourceLinked="1"/>
        <c:majorTickMark val="out"/>
        <c:minorTickMark val="none"/>
        <c:tickLblPos val="none"/>
        <c:crossAx val="228026880"/>
        <c:crosses val="autoZero"/>
        <c:crossBetween val="between"/>
      </c:valAx>
    </c:plotArea>
    <c:plotVisOnly val="1"/>
    <c:dispBlanksAs val="gap"/>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2020 рік</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Лист1!$A$2:$A$6</c:f>
              <c:strCache>
                <c:ptCount val="5"/>
                <c:pt idx="0">
                  <c:v>Поштою</c:v>
                </c:pt>
                <c:pt idx="1">
                  <c:v>Особисті прийоми</c:v>
                </c:pt>
                <c:pt idx="2">
                  <c:v>Кіровоградська ОДА</c:v>
                </c:pt>
                <c:pt idx="3">
                  <c:v>ОКЦ та УГЛ</c:v>
                </c:pt>
                <c:pt idx="4">
                  <c:v>Інші органи влади</c:v>
                </c:pt>
              </c:strCache>
            </c:strRef>
          </c:cat>
          <c:val>
            <c:numRef>
              <c:f>Лист1!$B$2:$B$6</c:f>
              <c:numCache>
                <c:formatCode>General</c:formatCode>
                <c:ptCount val="5"/>
                <c:pt idx="0">
                  <c:v>980</c:v>
                </c:pt>
                <c:pt idx="1">
                  <c:v>41</c:v>
                </c:pt>
                <c:pt idx="2">
                  <c:v>21</c:v>
                </c:pt>
                <c:pt idx="3">
                  <c:v>430</c:v>
                </c:pt>
                <c:pt idx="4">
                  <c:v>2</c:v>
                </c:pt>
              </c:numCache>
            </c:numRef>
          </c:val>
        </c:ser>
        <c:ser>
          <c:idx val="1"/>
          <c:order val="1"/>
          <c:tx>
            <c:strRef>
              <c:f>Лист1!$C$1</c:f>
              <c:strCache>
                <c:ptCount val="1"/>
                <c:pt idx="0">
                  <c:v>2019 рік</c:v>
                </c:pt>
              </c:strCache>
            </c:strRef>
          </c:tx>
          <c:invertIfNegative val="0"/>
          <c:dLbls>
            <c:txPr>
              <a:bodyPr/>
              <a:lstStyle/>
              <a:p>
                <a:pPr>
                  <a:defRPr b="1"/>
                </a:pPr>
                <a:endParaRPr lang="ru-RU"/>
              </a:p>
            </c:txPr>
            <c:showLegendKey val="0"/>
            <c:showVal val="1"/>
            <c:showCatName val="0"/>
            <c:showSerName val="0"/>
            <c:showPercent val="0"/>
            <c:showBubbleSize val="0"/>
            <c:showLeaderLines val="0"/>
          </c:dLbls>
          <c:cat>
            <c:strRef>
              <c:f>Лист1!$A$2:$A$6</c:f>
              <c:strCache>
                <c:ptCount val="5"/>
                <c:pt idx="0">
                  <c:v>Поштою</c:v>
                </c:pt>
                <c:pt idx="1">
                  <c:v>Особисті прийоми</c:v>
                </c:pt>
                <c:pt idx="2">
                  <c:v>Кіровоградська ОДА</c:v>
                </c:pt>
                <c:pt idx="3">
                  <c:v>ОКЦ та УГЛ</c:v>
                </c:pt>
                <c:pt idx="4">
                  <c:v>Інші органи влади</c:v>
                </c:pt>
              </c:strCache>
            </c:strRef>
          </c:cat>
          <c:val>
            <c:numRef>
              <c:f>Лист1!$C$2:$C$6</c:f>
              <c:numCache>
                <c:formatCode>General</c:formatCode>
                <c:ptCount val="5"/>
                <c:pt idx="0">
                  <c:v>1337</c:v>
                </c:pt>
                <c:pt idx="1">
                  <c:v>199</c:v>
                </c:pt>
                <c:pt idx="2">
                  <c:v>33</c:v>
                </c:pt>
                <c:pt idx="3">
                  <c:v>501</c:v>
                </c:pt>
                <c:pt idx="4">
                  <c:v>3</c:v>
                </c:pt>
              </c:numCache>
            </c:numRef>
          </c:val>
        </c:ser>
        <c:dLbls>
          <c:showLegendKey val="0"/>
          <c:showVal val="0"/>
          <c:showCatName val="0"/>
          <c:showSerName val="0"/>
          <c:showPercent val="0"/>
          <c:showBubbleSize val="0"/>
        </c:dLbls>
        <c:gapWidth val="150"/>
        <c:shape val="box"/>
        <c:axId val="239983616"/>
        <c:axId val="314745408"/>
        <c:axId val="0"/>
      </c:bar3DChart>
      <c:catAx>
        <c:axId val="239983616"/>
        <c:scaling>
          <c:orientation val="minMax"/>
        </c:scaling>
        <c:delete val="0"/>
        <c:axPos val="b"/>
        <c:majorTickMark val="out"/>
        <c:minorTickMark val="none"/>
        <c:tickLblPos val="nextTo"/>
        <c:crossAx val="314745408"/>
        <c:crosses val="autoZero"/>
        <c:auto val="1"/>
        <c:lblAlgn val="ctr"/>
        <c:lblOffset val="100"/>
        <c:noMultiLvlLbl val="0"/>
      </c:catAx>
      <c:valAx>
        <c:axId val="314745408"/>
        <c:scaling>
          <c:orientation val="minMax"/>
        </c:scaling>
        <c:delete val="1"/>
        <c:axPos val="l"/>
        <c:majorGridlines/>
        <c:numFmt formatCode="General" sourceLinked="1"/>
        <c:majorTickMark val="out"/>
        <c:minorTickMark val="none"/>
        <c:tickLblPos val="none"/>
        <c:crossAx val="239983616"/>
        <c:crosses val="autoZero"/>
        <c:crossBetween val="between"/>
      </c:valAx>
    </c:plotArea>
    <c:legend>
      <c:legendPos val="r"/>
      <c:overlay val="0"/>
    </c:legend>
    <c:plotVisOnly val="1"/>
    <c:dispBlanksAs val="gap"/>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Основні питання, що порушувались</a:t>
            </a:r>
          </a:p>
        </c:rich>
      </c:tx>
      <c:overlay val="0"/>
    </c:title>
    <c:autoTitleDeleted val="0"/>
    <c:plotArea>
      <c:layout>
        <c:manualLayout>
          <c:layoutTarget val="inner"/>
          <c:xMode val="edge"/>
          <c:yMode val="edge"/>
          <c:x val="2.1189892072614146E-2"/>
          <c:y val="0.17718647913773211"/>
          <c:w val="0.95762021585477186"/>
          <c:h val="0.7450186811682088"/>
        </c:manualLayout>
      </c:layout>
      <c:barChart>
        <c:barDir val="col"/>
        <c:grouping val="clustered"/>
        <c:varyColors val="0"/>
        <c:ser>
          <c:idx val="0"/>
          <c:order val="0"/>
          <c:tx>
            <c:strRef>
              <c:f>Лист1!$B$1</c:f>
              <c:strCache>
                <c:ptCount val="1"/>
                <c:pt idx="0">
                  <c:v>2020 рік</c:v>
                </c:pt>
              </c:strCache>
            </c:strRef>
          </c:tx>
          <c:invertIfNegative val="0"/>
          <c:cat>
            <c:strRef>
              <c:f>Лист1!$A$2:$A$20</c:f>
              <c:strCache>
                <c:ptCount val="19"/>
                <c:pt idx="0">
                  <c:v>020</c:v>
                </c:pt>
                <c:pt idx="1">
                  <c:v>030</c:v>
                </c:pt>
                <c:pt idx="2">
                  <c:v>040</c:v>
                </c:pt>
                <c:pt idx="3">
                  <c:v>050</c:v>
                </c:pt>
                <c:pt idx="4">
                  <c:v>060</c:v>
                </c:pt>
                <c:pt idx="5">
                  <c:v>070</c:v>
                </c:pt>
                <c:pt idx="6">
                  <c:v>090</c:v>
                </c:pt>
                <c:pt idx="7">
                  <c:v>100</c:v>
                </c:pt>
                <c:pt idx="8">
                  <c:v>110</c:v>
                </c:pt>
                <c:pt idx="9">
                  <c:v>120</c:v>
                </c:pt>
                <c:pt idx="10">
                  <c:v>130</c:v>
                </c:pt>
                <c:pt idx="11">
                  <c:v>140</c:v>
                </c:pt>
                <c:pt idx="12">
                  <c:v>150</c:v>
                </c:pt>
                <c:pt idx="13">
                  <c:v>160</c:v>
                </c:pt>
                <c:pt idx="14">
                  <c:v>170</c:v>
                </c:pt>
                <c:pt idx="15">
                  <c:v>180</c:v>
                </c:pt>
                <c:pt idx="16">
                  <c:v>190</c:v>
                </c:pt>
                <c:pt idx="17">
                  <c:v>230</c:v>
                </c:pt>
                <c:pt idx="18">
                  <c:v>270</c:v>
                </c:pt>
              </c:strCache>
            </c:strRef>
          </c:cat>
          <c:val>
            <c:numRef>
              <c:f>Лист1!$B$2:$B$20</c:f>
              <c:numCache>
                <c:formatCode>General</c:formatCode>
                <c:ptCount val="19"/>
                <c:pt idx="0">
                  <c:v>207</c:v>
                </c:pt>
                <c:pt idx="1">
                  <c:v>12</c:v>
                </c:pt>
                <c:pt idx="2">
                  <c:v>37</c:v>
                </c:pt>
                <c:pt idx="3">
                  <c:v>3</c:v>
                </c:pt>
                <c:pt idx="4">
                  <c:v>567</c:v>
                </c:pt>
                <c:pt idx="5">
                  <c:v>134</c:v>
                </c:pt>
                <c:pt idx="6">
                  <c:v>111</c:v>
                </c:pt>
                <c:pt idx="7">
                  <c:v>223</c:v>
                </c:pt>
                <c:pt idx="8">
                  <c:v>49</c:v>
                </c:pt>
                <c:pt idx="9">
                  <c:v>8</c:v>
                </c:pt>
                <c:pt idx="10">
                  <c:v>26</c:v>
                </c:pt>
                <c:pt idx="11">
                  <c:v>24</c:v>
                </c:pt>
                <c:pt idx="12">
                  <c:v>1</c:v>
                </c:pt>
                <c:pt idx="13">
                  <c:v>3</c:v>
                </c:pt>
                <c:pt idx="14">
                  <c:v>11</c:v>
                </c:pt>
                <c:pt idx="15">
                  <c:v>1</c:v>
                </c:pt>
                <c:pt idx="16">
                  <c:v>1</c:v>
                </c:pt>
                <c:pt idx="17">
                  <c:v>3</c:v>
                </c:pt>
                <c:pt idx="18">
                  <c:v>68</c:v>
                </c:pt>
              </c:numCache>
            </c:numRef>
          </c:val>
        </c:ser>
        <c:ser>
          <c:idx val="1"/>
          <c:order val="1"/>
          <c:tx>
            <c:strRef>
              <c:f>Лист1!$C$1</c:f>
              <c:strCache>
                <c:ptCount val="1"/>
                <c:pt idx="0">
                  <c:v>2019 рік</c:v>
                </c:pt>
              </c:strCache>
            </c:strRef>
          </c:tx>
          <c:invertIfNegative val="0"/>
          <c:dLbls>
            <c:dLbl>
              <c:idx val="0"/>
              <c:layout>
                <c:manualLayout>
                  <c:x val="0"/>
                  <c:y val="-4.9686039005496778E-2"/>
                </c:manualLayout>
              </c:layout>
              <c:showLegendKey val="0"/>
              <c:showVal val="1"/>
              <c:showCatName val="0"/>
              <c:showSerName val="0"/>
              <c:showPercent val="0"/>
              <c:showBubbleSize val="0"/>
            </c:dLbl>
            <c:dLbl>
              <c:idx val="1"/>
              <c:layout>
                <c:manualLayout>
                  <c:x val="0"/>
                  <c:y val="-2.7948396940591817E-2"/>
                </c:manualLayout>
              </c:layout>
              <c:showLegendKey val="0"/>
              <c:showVal val="1"/>
              <c:showCatName val="0"/>
              <c:showSerName val="0"/>
              <c:showPercent val="0"/>
              <c:showBubbleSize val="0"/>
            </c:dLbl>
            <c:dLbl>
              <c:idx val="2"/>
              <c:layout>
                <c:manualLayout>
                  <c:x val="0"/>
                  <c:y val="-5.9002171319027422E-2"/>
                </c:manualLayout>
              </c:layout>
              <c:showLegendKey val="0"/>
              <c:showVal val="1"/>
              <c:showCatName val="0"/>
              <c:showSerName val="0"/>
              <c:showPercent val="0"/>
              <c:showBubbleSize val="0"/>
            </c:dLbl>
            <c:dLbl>
              <c:idx val="3"/>
              <c:layout>
                <c:manualLayout>
                  <c:x val="0"/>
                  <c:y val="-3.1053774378435484E-2"/>
                </c:manualLayout>
              </c:layout>
              <c:showLegendKey val="0"/>
              <c:showVal val="1"/>
              <c:showCatName val="0"/>
              <c:showSerName val="0"/>
              <c:showPercent val="0"/>
              <c:showBubbleSize val="0"/>
            </c:dLbl>
            <c:dLbl>
              <c:idx val="5"/>
              <c:layout>
                <c:manualLayout>
                  <c:x val="0"/>
                  <c:y val="-4.347528412980968E-2"/>
                </c:manualLayout>
              </c:layout>
              <c:showLegendKey val="0"/>
              <c:showVal val="1"/>
              <c:showCatName val="0"/>
              <c:showSerName val="0"/>
              <c:showPercent val="0"/>
              <c:showBubbleSize val="0"/>
            </c:dLbl>
            <c:dLbl>
              <c:idx val="10"/>
              <c:layout>
                <c:manualLayout>
                  <c:x val="0"/>
                  <c:y val="-4.347528412980968E-2"/>
                </c:manualLayout>
              </c:layout>
              <c:showLegendKey val="0"/>
              <c:showVal val="1"/>
              <c:showCatName val="0"/>
              <c:showSerName val="0"/>
              <c:showPercent val="0"/>
              <c:showBubbleSize val="0"/>
            </c:dLbl>
            <c:dLbl>
              <c:idx val="11"/>
              <c:layout>
                <c:manualLayout>
                  <c:x val="7.0632157626668339E-17"/>
                  <c:y val="-4.0369906691966231E-2"/>
                </c:manualLayout>
              </c:layout>
              <c:showLegendKey val="0"/>
              <c:showVal val="1"/>
              <c:showCatName val="0"/>
              <c:showSerName val="0"/>
              <c:showPercent val="0"/>
              <c:showBubbleSize val="0"/>
            </c:dLbl>
            <c:dLbl>
              <c:idx val="14"/>
              <c:layout>
                <c:manualLayout>
                  <c:x val="0"/>
                  <c:y val="-3.415915181627902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Лист1!$A$2:$A$20</c:f>
              <c:strCache>
                <c:ptCount val="19"/>
                <c:pt idx="0">
                  <c:v>020</c:v>
                </c:pt>
                <c:pt idx="1">
                  <c:v>030</c:v>
                </c:pt>
                <c:pt idx="2">
                  <c:v>040</c:v>
                </c:pt>
                <c:pt idx="3">
                  <c:v>050</c:v>
                </c:pt>
                <c:pt idx="4">
                  <c:v>060</c:v>
                </c:pt>
                <c:pt idx="5">
                  <c:v>070</c:v>
                </c:pt>
                <c:pt idx="6">
                  <c:v>090</c:v>
                </c:pt>
                <c:pt idx="7">
                  <c:v>100</c:v>
                </c:pt>
                <c:pt idx="8">
                  <c:v>110</c:v>
                </c:pt>
                <c:pt idx="9">
                  <c:v>120</c:v>
                </c:pt>
                <c:pt idx="10">
                  <c:v>130</c:v>
                </c:pt>
                <c:pt idx="11">
                  <c:v>140</c:v>
                </c:pt>
                <c:pt idx="12">
                  <c:v>150</c:v>
                </c:pt>
                <c:pt idx="13">
                  <c:v>160</c:v>
                </c:pt>
                <c:pt idx="14">
                  <c:v>170</c:v>
                </c:pt>
                <c:pt idx="15">
                  <c:v>180</c:v>
                </c:pt>
                <c:pt idx="16">
                  <c:v>190</c:v>
                </c:pt>
                <c:pt idx="17">
                  <c:v>230</c:v>
                </c:pt>
                <c:pt idx="18">
                  <c:v>270</c:v>
                </c:pt>
              </c:strCache>
            </c:strRef>
          </c:cat>
          <c:val>
            <c:numRef>
              <c:f>Лист1!$C$2:$C$20</c:f>
              <c:numCache>
                <c:formatCode>General</c:formatCode>
                <c:ptCount val="19"/>
                <c:pt idx="0">
                  <c:v>225</c:v>
                </c:pt>
                <c:pt idx="1">
                  <c:v>24</c:v>
                </c:pt>
                <c:pt idx="2">
                  <c:v>44</c:v>
                </c:pt>
                <c:pt idx="3">
                  <c:v>10</c:v>
                </c:pt>
                <c:pt idx="4">
                  <c:v>798</c:v>
                </c:pt>
                <c:pt idx="5">
                  <c:v>128</c:v>
                </c:pt>
                <c:pt idx="6">
                  <c:v>62</c:v>
                </c:pt>
                <c:pt idx="7">
                  <c:v>475</c:v>
                </c:pt>
                <c:pt idx="8">
                  <c:v>94</c:v>
                </c:pt>
                <c:pt idx="9">
                  <c:v>10</c:v>
                </c:pt>
                <c:pt idx="10">
                  <c:v>31</c:v>
                </c:pt>
                <c:pt idx="11">
                  <c:v>46</c:v>
                </c:pt>
                <c:pt idx="12">
                  <c:v>9</c:v>
                </c:pt>
                <c:pt idx="13">
                  <c:v>4</c:v>
                </c:pt>
                <c:pt idx="14">
                  <c:v>19</c:v>
                </c:pt>
                <c:pt idx="15">
                  <c:v>2</c:v>
                </c:pt>
                <c:pt idx="16">
                  <c:v>3</c:v>
                </c:pt>
                <c:pt idx="17">
                  <c:v>2</c:v>
                </c:pt>
                <c:pt idx="18">
                  <c:v>127</c:v>
                </c:pt>
              </c:numCache>
            </c:numRef>
          </c:val>
        </c:ser>
        <c:dLbls>
          <c:showLegendKey val="0"/>
          <c:showVal val="1"/>
          <c:showCatName val="0"/>
          <c:showSerName val="0"/>
          <c:showPercent val="0"/>
          <c:showBubbleSize val="0"/>
        </c:dLbls>
        <c:gapWidth val="150"/>
        <c:overlap val="-25"/>
        <c:axId val="235815936"/>
        <c:axId val="307985728"/>
      </c:barChart>
      <c:catAx>
        <c:axId val="235815936"/>
        <c:scaling>
          <c:orientation val="minMax"/>
        </c:scaling>
        <c:delete val="0"/>
        <c:axPos val="b"/>
        <c:numFmt formatCode="@" sourceLinked="1"/>
        <c:majorTickMark val="none"/>
        <c:minorTickMark val="none"/>
        <c:tickLblPos val="nextTo"/>
        <c:crossAx val="307985728"/>
        <c:crosses val="autoZero"/>
        <c:auto val="1"/>
        <c:lblAlgn val="ctr"/>
        <c:lblOffset val="100"/>
        <c:noMultiLvlLbl val="0"/>
      </c:catAx>
      <c:valAx>
        <c:axId val="307985728"/>
        <c:scaling>
          <c:orientation val="minMax"/>
        </c:scaling>
        <c:delete val="1"/>
        <c:axPos val="l"/>
        <c:numFmt formatCode="General" sourceLinked="1"/>
        <c:majorTickMark val="out"/>
        <c:minorTickMark val="none"/>
        <c:tickLblPos val="none"/>
        <c:crossAx val="235815936"/>
        <c:crosses val="autoZero"/>
        <c:crossBetween val="between"/>
      </c:valAx>
    </c:plotArea>
    <c:legend>
      <c:legendPos val="t"/>
      <c:overlay val="0"/>
    </c:legend>
    <c:plotVisOnly val="1"/>
    <c:dispBlanksAs val="gap"/>
    <c:showDLblsOverMax val="0"/>
  </c:chart>
  <c:spPr>
    <a:noFill/>
    <a:ln>
      <a:noFill/>
    </a:ln>
  </c:spPr>
  <c:txPr>
    <a:bodyPr/>
    <a:lstStyle/>
    <a:p>
      <a:pPr>
        <a:defRPr sz="1100" b="1">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400"/>
          </a:pPr>
          <a:endParaRPr lang="ru-RU"/>
        </a:p>
      </c:txPr>
    </c:title>
    <c:autoTitleDeleted val="0"/>
    <c:plotArea>
      <c:layout/>
      <c:pieChart>
        <c:varyColors val="1"/>
        <c:ser>
          <c:idx val="0"/>
          <c:order val="0"/>
          <c:tx>
            <c:strRef>
              <c:f>Лист1!$B$1</c:f>
              <c:strCache>
                <c:ptCount val="1"/>
                <c:pt idx="0">
                  <c:v>За соціальним станом авторів звернень</c:v>
                </c:pt>
              </c:strCache>
            </c:strRef>
          </c:tx>
          <c:dLbls>
            <c:dLbl>
              <c:idx val="0"/>
              <c:layout>
                <c:manualLayout>
                  <c:x val="6.4178423009623814E-2"/>
                  <c:y val="-1.2770278715160609E-2"/>
                </c:manualLayout>
              </c:layout>
              <c:showLegendKey val="0"/>
              <c:showVal val="1"/>
              <c:showCatName val="0"/>
              <c:showSerName val="0"/>
              <c:showPercent val="0"/>
              <c:showBubbleSize val="0"/>
            </c:dLbl>
            <c:dLbl>
              <c:idx val="1"/>
              <c:layout>
                <c:manualLayout>
                  <c:x val="4.5027704870224478E-2"/>
                  <c:y val="-0.11073303337082861"/>
                </c:manualLayout>
              </c:layout>
              <c:showLegendKey val="0"/>
              <c:showVal val="1"/>
              <c:showCatName val="0"/>
              <c:showSerName val="0"/>
              <c:showPercent val="0"/>
              <c:showBubbleSize val="0"/>
            </c:dLbl>
            <c:dLbl>
              <c:idx val="2"/>
              <c:layout>
                <c:manualLayout>
                  <c:x val="7.8190981335666404E-2"/>
                  <c:y val="-8.101799775028122E-2"/>
                </c:manualLayout>
              </c:layout>
              <c:showLegendKey val="0"/>
              <c:showVal val="1"/>
              <c:showCatName val="0"/>
              <c:showSerName val="0"/>
              <c:showPercent val="0"/>
              <c:showBubbleSize val="0"/>
            </c:dLbl>
            <c:dLbl>
              <c:idx val="3"/>
              <c:layout>
                <c:manualLayout>
                  <c:x val="6.7008603091280275E-2"/>
                  <c:y val="-8.6545431821022367E-3"/>
                </c:manualLayout>
              </c:layout>
              <c:showLegendKey val="0"/>
              <c:showVal val="1"/>
              <c:showCatName val="0"/>
              <c:showSerName val="0"/>
              <c:showPercent val="0"/>
              <c:showBubbleSize val="0"/>
            </c:dLbl>
            <c:dLbl>
              <c:idx val="4"/>
              <c:layout>
                <c:manualLayout>
                  <c:x val="6.4598188247302429E-2"/>
                  <c:y val="8.7453130858642675E-2"/>
                </c:manualLayout>
              </c:layout>
              <c:showLegendKey val="0"/>
              <c:showVal val="1"/>
              <c:showCatName val="0"/>
              <c:showSerName val="0"/>
              <c:showPercent val="0"/>
              <c:showBubbleSize val="0"/>
            </c:dLbl>
            <c:dLbl>
              <c:idx val="5"/>
              <c:layout>
                <c:manualLayout>
                  <c:x val="4.1112660396617096E-2"/>
                  <c:y val="0.12318178977627799"/>
                </c:manualLayout>
              </c:layout>
              <c:showLegendKey val="0"/>
              <c:showVal val="1"/>
              <c:showCatName val="0"/>
              <c:showSerName val="0"/>
              <c:showPercent val="0"/>
              <c:showBubbleSize val="0"/>
            </c:dLbl>
            <c:dLbl>
              <c:idx val="6"/>
              <c:layout>
                <c:manualLayout>
                  <c:x val="-4.2350995188101502E-2"/>
                  <c:y val="-5.0323084614423211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Лист1!$A$2:$A$8</c:f>
              <c:strCache>
                <c:ptCount val="7"/>
                <c:pt idx="0">
                  <c:v>пенсіонерів</c:v>
                </c:pt>
                <c:pt idx="1">
                  <c:v>робітників</c:v>
                </c:pt>
                <c:pt idx="2">
                  <c:v>державних службовців</c:v>
                </c:pt>
                <c:pt idx="3">
                  <c:v>військовослужбовців</c:v>
                </c:pt>
                <c:pt idx="4">
                  <c:v>підприємців</c:v>
                </c:pt>
                <c:pt idx="5">
                  <c:v>безробітних</c:v>
                </c:pt>
                <c:pt idx="6">
                  <c:v>інших</c:v>
                </c:pt>
              </c:strCache>
            </c:strRef>
          </c:cat>
          <c:val>
            <c:numRef>
              <c:f>Лист1!$B$2:$B$8</c:f>
              <c:numCache>
                <c:formatCode>General</c:formatCode>
                <c:ptCount val="7"/>
                <c:pt idx="0">
                  <c:v>272</c:v>
                </c:pt>
                <c:pt idx="1">
                  <c:v>77</c:v>
                </c:pt>
                <c:pt idx="2">
                  <c:v>4</c:v>
                </c:pt>
                <c:pt idx="3">
                  <c:v>2</c:v>
                </c:pt>
                <c:pt idx="4">
                  <c:v>10</c:v>
                </c:pt>
                <c:pt idx="5">
                  <c:v>35</c:v>
                </c:pt>
                <c:pt idx="6">
                  <c:v>1074</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b="0"/>
          </a:pPr>
          <a:endParaRPr lang="ru-RU"/>
        </a:p>
      </c:txPr>
    </c:legend>
    <c:plotVisOnly val="1"/>
    <c:dispBlanksAs val="gap"/>
    <c:showDLblsOverMax val="0"/>
  </c:chart>
  <c:spPr>
    <a:noFill/>
    <a:ln>
      <a:noFill/>
    </a:ln>
  </c:spPr>
  <c:txPr>
    <a:bodyPr/>
    <a:lstStyle/>
    <a:p>
      <a:pPr>
        <a:defRPr b="1">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41517145141345169"/>
          <c:y val="2.6416900992436515E-2"/>
        </c:manualLayout>
      </c:layout>
      <c:overlay val="0"/>
      <c:txPr>
        <a:bodyPr/>
        <a:lstStyle/>
        <a:p>
          <a:pPr>
            <a:defRPr sz="1200"/>
          </a:pPr>
          <a:endParaRPr lang="ru-RU"/>
        </a:p>
      </c:txPr>
    </c:title>
    <c:autoTitleDeleted val="0"/>
    <c:plotArea>
      <c:layout>
        <c:manualLayout>
          <c:layoutTarget val="inner"/>
          <c:xMode val="edge"/>
          <c:yMode val="edge"/>
          <c:x val="3.2101158855834956E-2"/>
          <c:y val="0.10961245851558511"/>
          <c:w val="0.37218612654364835"/>
          <c:h val="0.89024332323227762"/>
        </c:manualLayout>
      </c:layout>
      <c:pieChart>
        <c:varyColors val="1"/>
        <c:ser>
          <c:idx val="0"/>
          <c:order val="0"/>
          <c:tx>
            <c:strRef>
              <c:f>Лист1!$B$1</c:f>
              <c:strCache>
                <c:ptCount val="1"/>
                <c:pt idx="0">
                  <c:v>За категоріями авторів звернень</c:v>
                </c:pt>
              </c:strCache>
            </c:strRef>
          </c:tx>
          <c:explosion val="19"/>
          <c:dLbls>
            <c:dLbl>
              <c:idx val="12"/>
              <c:layout>
                <c:manualLayout>
                  <c:x val="6.2077255896169671E-2"/>
                  <c:y val="-0.17110351577057786"/>
                </c:manualLayout>
              </c:layout>
              <c:showLegendKey val="0"/>
              <c:showVal val="1"/>
              <c:showCatName val="0"/>
              <c:showSerName val="0"/>
              <c:showPercent val="0"/>
              <c:showBubbleSize val="0"/>
              <c:separator> </c:separator>
            </c:dLbl>
            <c:txPr>
              <a:bodyPr/>
              <a:lstStyle/>
              <a:p>
                <a:pPr>
                  <a:defRPr b="1"/>
                </a:pPr>
                <a:endParaRPr lang="ru-RU"/>
              </a:p>
            </c:txPr>
            <c:showLegendKey val="0"/>
            <c:showVal val="1"/>
            <c:showCatName val="0"/>
            <c:showSerName val="0"/>
            <c:showPercent val="0"/>
            <c:showBubbleSize val="0"/>
            <c:separator> </c:separator>
            <c:showLeaderLines val="1"/>
          </c:dLbls>
          <c:cat>
            <c:strRef>
              <c:f>Лист1!$A$2:$A$14</c:f>
              <c:strCache>
                <c:ptCount val="13"/>
                <c:pt idx="0">
                  <c:v>учасники війни</c:v>
                </c:pt>
                <c:pt idx="1">
                  <c:v>дітей війни</c:v>
                </c:pt>
                <c:pt idx="2">
                  <c:v>осіб з інвалідністю внаслідок Другої світової війни</c:v>
                </c:pt>
                <c:pt idx="3">
                  <c:v>учасників бойових дій</c:v>
                </c:pt>
                <c:pt idx="4">
                  <c:v>ветеранів праці</c:v>
                </c:pt>
                <c:pt idx="5">
                  <c:v>осіб з інвалідністю І групи</c:v>
                </c:pt>
                <c:pt idx="6">
                  <c:v>осіб з інвалідністю ІІ групи</c:v>
                </c:pt>
                <c:pt idx="7">
                  <c:v>осіб з інвалідністю ІІІ групи</c:v>
                </c:pt>
                <c:pt idx="8">
                  <c:v>одиноких матерів</c:v>
                </c:pt>
                <c:pt idx="9">
                  <c:v>матерів героїнь</c:v>
                </c:pt>
                <c:pt idx="10">
                  <c:v>багатодітних сімей</c:v>
                </c:pt>
                <c:pt idx="11">
                  <c:v>учасників ліквідації наслідків аварії на ЧАЕС</c:v>
                </c:pt>
                <c:pt idx="12">
                  <c:v>інших категорій</c:v>
                </c:pt>
              </c:strCache>
            </c:strRef>
          </c:cat>
          <c:val>
            <c:numRef>
              <c:f>Лист1!$B$2:$B$14</c:f>
              <c:numCache>
                <c:formatCode>General</c:formatCode>
                <c:ptCount val="13"/>
                <c:pt idx="0">
                  <c:v>2</c:v>
                </c:pt>
                <c:pt idx="1">
                  <c:v>14</c:v>
                </c:pt>
                <c:pt idx="2">
                  <c:v>1</c:v>
                </c:pt>
                <c:pt idx="3">
                  <c:v>15</c:v>
                </c:pt>
                <c:pt idx="4">
                  <c:v>12</c:v>
                </c:pt>
                <c:pt idx="5">
                  <c:v>31</c:v>
                </c:pt>
                <c:pt idx="6">
                  <c:v>48</c:v>
                </c:pt>
                <c:pt idx="7">
                  <c:v>38</c:v>
                </c:pt>
                <c:pt idx="8">
                  <c:v>39</c:v>
                </c:pt>
                <c:pt idx="9">
                  <c:v>1</c:v>
                </c:pt>
                <c:pt idx="10">
                  <c:v>18</c:v>
                </c:pt>
                <c:pt idx="11">
                  <c:v>10</c:v>
                </c:pt>
                <c:pt idx="12">
                  <c:v>1245</c:v>
                </c:pt>
              </c:numCache>
            </c:numRef>
          </c:val>
        </c:ser>
        <c:dLbls>
          <c:showLegendKey val="0"/>
          <c:showVal val="0"/>
          <c:showCatName val="0"/>
          <c:showSerName val="0"/>
          <c:showPercent val="1"/>
          <c:showBubbleSize val="0"/>
          <c:showLeaderLines val="1"/>
        </c:dLbls>
        <c:firstSliceAng val="0"/>
      </c:pieChart>
    </c:plotArea>
    <c:legend>
      <c:legendPos val="tr"/>
      <c:layout>
        <c:manualLayout>
          <c:xMode val="edge"/>
          <c:yMode val="edge"/>
          <c:x val="0.68688746129465561"/>
          <c:y val="0.12173788540681162"/>
          <c:w val="0.30022766655980015"/>
          <c:h val="0.81678145769291721"/>
        </c:manualLayout>
      </c:layout>
      <c:overlay val="0"/>
      <c:txPr>
        <a:bodyPr/>
        <a:lstStyle/>
        <a:p>
          <a:pPr>
            <a:defRPr sz="700"/>
          </a:pPr>
          <a:endParaRPr lang="ru-RU"/>
        </a:p>
      </c:txPr>
    </c:legend>
    <c:plotVisOnly val="1"/>
    <c:dispBlanksAs val="gap"/>
    <c:showDLblsOverMax val="0"/>
  </c:chart>
  <c:spPr>
    <a:noFill/>
    <a:ln>
      <a:noFill/>
    </a:ln>
  </c:spPr>
  <c:txPr>
    <a:bodyPr/>
    <a:lstStyle/>
    <a:p>
      <a:pPr>
        <a:defRPr sz="800"/>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TotalTime>
  <Pages>6</Pages>
  <Words>1831</Words>
  <Characters>10438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2</cp:revision>
  <dcterms:created xsi:type="dcterms:W3CDTF">2021-03-02T14:13:00Z</dcterms:created>
  <dcterms:modified xsi:type="dcterms:W3CDTF">2021-03-02T14:15:00Z</dcterms:modified>
</cp:coreProperties>
</file>