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6E" w:rsidRPr="00A3728A" w:rsidRDefault="008B1C6E" w:rsidP="008B1C6E">
      <w:pPr>
        <w:pStyle w:val="a3"/>
        <w:jc w:val="right"/>
        <w:rPr>
          <w:b/>
          <w:sz w:val="24"/>
        </w:rPr>
      </w:pPr>
      <w:r w:rsidRPr="00A3728A">
        <w:rPr>
          <w:b/>
          <w:sz w:val="24"/>
        </w:rPr>
        <w:t>ПРОЕКТ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77539F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>Про  надання  згоди  комунальному  закладу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«Знам’янська  міська  лікарня </w:t>
      </w:r>
    </w:p>
    <w:p w:rsidR="0077539F" w:rsidRPr="0077539F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імені А.В. Лисенка»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>на продовження дії  договору  оренди  нежитлових  приміщень</w:t>
      </w:r>
    </w:p>
    <w:p w:rsidR="0077539F" w:rsidRPr="0077539F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>з комунальним некомерційним підприємством «Знам’янський районний</w:t>
      </w:r>
    </w:p>
    <w:p w:rsidR="008B1C6E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539F">
        <w:rPr>
          <w:rFonts w:ascii="Times New Roman" w:hAnsi="Times New Roman" w:cs="Times New Roman"/>
          <w:b/>
          <w:sz w:val="24"/>
          <w:szCs w:val="24"/>
          <w:lang w:val="uk-UA"/>
        </w:rPr>
        <w:t>центр первинної медико-санітарної допомоги»</w:t>
      </w:r>
    </w:p>
    <w:p w:rsidR="0077539F" w:rsidRPr="0077539F" w:rsidRDefault="0077539F" w:rsidP="007753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728A" w:rsidRPr="00A3728A" w:rsidRDefault="008B1C6E" w:rsidP="00A37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рішення:</w:t>
      </w:r>
      <w:r w:rsidR="00A3728A"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E4CC3" w:rsidRPr="00A3728A" w:rsidRDefault="007E4CC3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Нежитлові приміщення знаходяться в оренді у </w:t>
      </w:r>
      <w:r w:rsidRPr="007E4CC3">
        <w:rPr>
          <w:rFonts w:ascii="Times New Roman" w:hAnsi="Times New Roman" w:cs="Times New Roman"/>
          <w:sz w:val="24"/>
          <w:szCs w:val="24"/>
          <w:lang w:val="uk-UA"/>
        </w:rPr>
        <w:t>комунального некомерційного підприємства «Знам’янський районний центр первинної медико-санітарної допомоги»</w:t>
      </w:r>
      <w:r>
        <w:rPr>
          <w:lang w:val="uk-UA"/>
        </w:rPr>
        <w:t xml:space="preserve"> </w:t>
      </w:r>
    </w:p>
    <w:p w:rsidR="008B1C6E" w:rsidRPr="00A3728A" w:rsidRDefault="008B1C6E" w:rsidP="00A372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A3728A" w:rsidRPr="007E4CC3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 підготовлено  на  </w:t>
      </w:r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лист виконуючої обов’язки головного лікаря комунального некомерційного підприємства «Знам’янський районний центр первинної медико-санітарної допомоги» </w:t>
      </w:r>
      <w:proofErr w:type="spellStart"/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>Зраєнко</w:t>
      </w:r>
      <w:proofErr w:type="spellEnd"/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 xml:space="preserve"> Жанни Володимирівни щодо продовження дії договору оренди нежитлових приміщень по вул. Гагаріна, 27-Т: першого поверху поліклінічного відділення та головного корпусу, загальною площею 258,05 кв.м, частини приміщення господарчого корпусу, площею 11,05 кв.м, металевого боксу, площею 18,5 кв.м та гаражу, площею 42 кв.м </w:t>
      </w:r>
      <w:bookmarkStart w:id="0" w:name="_GoBack"/>
      <w:bookmarkEnd w:id="0"/>
      <w:r w:rsidR="007E4CC3" w:rsidRPr="007E4CC3">
        <w:rPr>
          <w:rFonts w:ascii="Times New Roman" w:hAnsi="Times New Roman" w:cs="Times New Roman"/>
          <w:sz w:val="24"/>
          <w:szCs w:val="24"/>
          <w:lang w:val="uk-UA"/>
        </w:rPr>
        <w:t>для розміщення Центру Знам’янської амбулаторії загальної практики - сімейної медицини на період проведення капітального ремонту будівлі по вул. Партизанській, 59,</w:t>
      </w:r>
    </w:p>
    <w:p w:rsidR="008B1C6E" w:rsidRPr="00A3728A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A3728A" w:rsidRPr="008B1C6E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Прийня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ття  рішення  дасть можливість комунальному закладу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"Знам’янська  міська  лікарня  ім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ені А.В.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Лисенка"  отримати додаткові кошти.</w:t>
      </w:r>
    </w:p>
    <w:p w:rsidR="008B1C6E" w:rsidRPr="00A3728A" w:rsidRDefault="008B1C6E" w:rsidP="008B1C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8B1C6E" w:rsidRPr="008B1C6E" w:rsidRDefault="008B1C6E" w:rsidP="007E4C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укладання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комунальним закладом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ька  міська  лікарня імені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А.В.Лисенка"  договору  оренди з  орендарем та контроль за своєчасним надходженням від нього коштів за оренду.  </w:t>
      </w:r>
    </w:p>
    <w:p w:rsidR="008B1C6E" w:rsidRPr="00A3728A" w:rsidRDefault="008B1C6E" w:rsidP="007E4C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A3728A" w:rsidRPr="008B1C6E" w:rsidRDefault="008B1C6E" w:rsidP="00A3728A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8B1C6E" w:rsidRPr="00A3728A" w:rsidRDefault="008B1C6E" w:rsidP="007E4CC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Проект рішення оприлюднений ____________  на  сайті Знам’янської  міської  ради.</w:t>
      </w:r>
    </w:p>
    <w:p w:rsidR="008B1C6E" w:rsidRPr="00A3728A" w:rsidRDefault="008B1C6E" w:rsidP="007E4CC3">
      <w:pPr>
        <w:spacing w:line="240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8B1C6E" w:rsidRDefault="008B1C6E" w:rsidP="008B1C6E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__________                                                                   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Таран О.С.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8B1C6E" w:rsidRPr="008B1C6E" w:rsidRDefault="008B1C6E" w:rsidP="008B1C6E">
      <w:pPr>
        <w:pStyle w:val="a3"/>
        <w:jc w:val="right"/>
        <w:rPr>
          <w:sz w:val="24"/>
        </w:rPr>
      </w:pPr>
    </w:p>
    <w:p w:rsidR="008B1C6E" w:rsidRPr="008B1C6E" w:rsidRDefault="008B1C6E" w:rsidP="007E4CC3">
      <w:pPr>
        <w:pStyle w:val="a3"/>
        <w:jc w:val="both"/>
        <w:rPr>
          <w:sz w:val="24"/>
        </w:rPr>
      </w:pPr>
      <w:r w:rsidRPr="008B1C6E">
        <w:rPr>
          <w:sz w:val="24"/>
        </w:rPr>
        <w:t xml:space="preserve">    __________                                                                                Клименко Н.М</w:t>
      </w: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3D1A62" w:rsidRPr="003D1A62" w:rsidRDefault="003D1A62" w:rsidP="007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19C9" w:rsidRDefault="002119C9">
      <w:pPr>
        <w:rPr>
          <w:lang w:val="uk-UA"/>
        </w:rPr>
      </w:pPr>
    </w:p>
    <w:p w:rsidR="00000A88" w:rsidRDefault="00000A88">
      <w:pPr>
        <w:rPr>
          <w:lang w:val="uk-UA"/>
        </w:rPr>
      </w:pPr>
    </w:p>
    <w:p w:rsidR="00000A88" w:rsidRDefault="00000A88" w:rsidP="00000A88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000A88" w:rsidRDefault="00000A88" w:rsidP="00000A8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000A88" w:rsidRDefault="00000A88" w:rsidP="00000A88">
      <w:pPr>
        <w:jc w:val="center"/>
        <w:rPr>
          <w:lang w:val="uk-UA"/>
        </w:rPr>
      </w:pPr>
    </w:p>
    <w:p w:rsidR="00000A88" w:rsidRDefault="00000A88" w:rsidP="00000A88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00A88" w:rsidRDefault="00000A88" w:rsidP="00000A88">
      <w:pPr>
        <w:jc w:val="center"/>
        <w:rPr>
          <w:b/>
          <w:bCs/>
          <w:lang w:val="uk-UA"/>
        </w:rPr>
      </w:pPr>
    </w:p>
    <w:p w:rsidR="00000A88" w:rsidRDefault="00000A88" w:rsidP="00000A88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000A88" w:rsidRDefault="00000A88" w:rsidP="00000A88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000A88" w:rsidRDefault="00000A88" w:rsidP="00000A88">
      <w:pPr>
        <w:jc w:val="center"/>
        <w:rPr>
          <w:lang w:val="uk-UA"/>
        </w:rPr>
      </w:pPr>
    </w:p>
    <w:p w:rsidR="00000A88" w:rsidRDefault="00000A88" w:rsidP="00000A88">
      <w:pPr>
        <w:jc w:val="center"/>
        <w:rPr>
          <w:sz w:val="16"/>
          <w:lang w:val="uk-UA"/>
        </w:rPr>
      </w:pPr>
    </w:p>
    <w:p w:rsidR="00000A88" w:rsidRDefault="00000A88" w:rsidP="00000A88">
      <w:pPr>
        <w:jc w:val="both"/>
        <w:rPr>
          <w:lang w:val="uk-UA"/>
        </w:rPr>
      </w:pPr>
      <w:r>
        <w:rPr>
          <w:lang w:val="uk-UA"/>
        </w:rPr>
        <w:t xml:space="preserve"> Про  надання  згоди  комунальному  закладу</w:t>
      </w:r>
    </w:p>
    <w:p w:rsidR="00000A88" w:rsidRDefault="00000A88" w:rsidP="00000A88">
      <w:pPr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А.В.Лисенка» </w:t>
      </w:r>
    </w:p>
    <w:p w:rsidR="00000A88" w:rsidRDefault="00000A88" w:rsidP="00000A88">
      <w:pPr>
        <w:jc w:val="both"/>
        <w:rPr>
          <w:lang w:val="uk-UA"/>
        </w:rPr>
      </w:pPr>
      <w:r>
        <w:rPr>
          <w:lang w:val="uk-UA"/>
        </w:rPr>
        <w:t xml:space="preserve">на продовження дії  договору  оренди  нежитлових  приміщень   </w:t>
      </w:r>
    </w:p>
    <w:p w:rsidR="00000A88" w:rsidRDefault="00000A88" w:rsidP="00000A88">
      <w:pPr>
        <w:jc w:val="both"/>
        <w:rPr>
          <w:lang w:val="uk-UA"/>
        </w:rPr>
      </w:pPr>
      <w:r>
        <w:rPr>
          <w:lang w:val="uk-UA"/>
        </w:rPr>
        <w:t>з комунальним некомерційним підприємством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</w:t>
      </w:r>
    </w:p>
    <w:p w:rsidR="00000A88" w:rsidRDefault="00000A88" w:rsidP="00000A88">
      <w:pPr>
        <w:jc w:val="both"/>
        <w:rPr>
          <w:lang w:val="uk-UA"/>
        </w:rPr>
      </w:pPr>
      <w:r>
        <w:rPr>
          <w:lang w:val="uk-UA"/>
        </w:rPr>
        <w:t>центр первинної медико-санітарної допомоги»</w:t>
      </w:r>
    </w:p>
    <w:p w:rsidR="00000A88" w:rsidRDefault="00000A88" w:rsidP="00000A88">
      <w:pPr>
        <w:jc w:val="both"/>
        <w:rPr>
          <w:lang w:val="uk-UA"/>
        </w:rPr>
      </w:pPr>
    </w:p>
    <w:p w:rsidR="00000A88" w:rsidRDefault="00000A88" w:rsidP="00000A88">
      <w:pPr>
        <w:ind w:firstLine="426"/>
        <w:jc w:val="both"/>
        <w:rPr>
          <w:lang w:val="uk-UA"/>
        </w:rPr>
      </w:pPr>
      <w:r>
        <w:rPr>
          <w:lang w:val="uk-UA"/>
        </w:rPr>
        <w:t>Розглянувши лист виконуючої обов’язки головного лікаря комунального некомерційного підприємства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медико-санітарної допомоги» </w:t>
      </w:r>
      <w:proofErr w:type="spellStart"/>
      <w:r>
        <w:rPr>
          <w:lang w:val="uk-UA"/>
        </w:rPr>
        <w:t>Зраєнко</w:t>
      </w:r>
      <w:proofErr w:type="spellEnd"/>
      <w:r>
        <w:rPr>
          <w:lang w:val="uk-UA"/>
        </w:rPr>
        <w:t xml:space="preserve"> Жанни Володимирівни щодо продовження дії договору оренди нежитлових приміщень по вул. Гагаріна, 27-Т: першого поверху поліклінічного відділення та головного корпусу, загальною площею 258,05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частини приміщення господарчого корпусу, площею 11,05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металевого боксу, площею 18,5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та гаражу, площею 42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для розміщення Центру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амбулаторії загальної практики - сімейної медицини 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000A88" w:rsidRDefault="00000A88" w:rsidP="00000A88">
      <w:pPr>
        <w:rPr>
          <w:b/>
          <w:bCs/>
          <w:lang w:val="uk-UA"/>
        </w:rPr>
      </w:pPr>
    </w:p>
    <w:p w:rsidR="00000A88" w:rsidRDefault="00000A88" w:rsidP="00000A88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000A88" w:rsidRDefault="00000A88" w:rsidP="00000A88">
      <w:pPr>
        <w:ind w:firstLine="540"/>
        <w:jc w:val="center"/>
        <w:rPr>
          <w:b/>
          <w:bCs/>
          <w:sz w:val="14"/>
          <w:lang w:val="uk-UA"/>
        </w:rPr>
      </w:pPr>
    </w:p>
    <w:p w:rsidR="00000A88" w:rsidRDefault="00000A88" w:rsidP="00000A88">
      <w:pPr>
        <w:ind w:firstLine="284"/>
        <w:jc w:val="both"/>
        <w:rPr>
          <w:lang w:val="uk-UA"/>
        </w:rPr>
      </w:pPr>
      <w:r>
        <w:rPr>
          <w:lang w:val="uk-UA"/>
        </w:rPr>
        <w:t>1. Надати згоду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А.В.Лисенка»  на продовження дії  договору  оренди  нежитлових  приміщень з комунальним некомерційним підприємством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медико-санітарної допомоги»,</w:t>
      </w:r>
      <w:r w:rsidRPr="00C71CA4">
        <w:rPr>
          <w:lang w:val="uk-UA"/>
        </w:rPr>
        <w:t xml:space="preserve"> </w:t>
      </w:r>
      <w:r>
        <w:rPr>
          <w:lang w:val="uk-UA"/>
        </w:rPr>
        <w:t>згідно додатку, терміном до 31.12.2019 року.</w:t>
      </w:r>
    </w:p>
    <w:p w:rsidR="00000A88" w:rsidRDefault="00000A88" w:rsidP="00000A88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>2. Відповідно  до п. 8 рішення міської ради від 21.04.2017 року №820  «Про методику  розрахунку і порядок використання плати за оренду майна територіальної  громади  м. Знам’янка  у  новій  редакції» встановити для комунального некомерційного підприємства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</w:t>
      </w:r>
      <w:proofErr w:type="spellStart"/>
      <w:r>
        <w:rPr>
          <w:lang w:val="uk-UA"/>
        </w:rPr>
        <w:t>медико</w:t>
      </w:r>
      <w:proofErr w:type="spellEnd"/>
      <w:r>
        <w:rPr>
          <w:lang w:val="uk-UA"/>
        </w:rPr>
        <w:t xml:space="preserve"> – санітарної допомоги» розмір річної орендної плати за оренду нерухомого майна 1 гривня.</w:t>
      </w:r>
    </w:p>
    <w:p w:rsidR="00000A88" w:rsidRDefault="00000A88" w:rsidP="00000A88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 головного  лікаря  комунального  </w:t>
      </w:r>
      <w:r>
        <w:rPr>
          <w:lang w:val="uk-UA"/>
        </w:rPr>
        <w:lastRenderedPageBreak/>
        <w:t>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імені А.В. Лисенка»  Муравського І.Б.</w:t>
      </w:r>
    </w:p>
    <w:p w:rsidR="00000A88" w:rsidRDefault="00000A88" w:rsidP="00000A88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000A88" w:rsidRDefault="00000A88" w:rsidP="00000A88">
      <w:pPr>
        <w:pStyle w:val="a7"/>
        <w:ind w:left="360" w:firstLine="0"/>
      </w:pPr>
    </w:p>
    <w:p w:rsidR="00000A88" w:rsidRDefault="00000A88" w:rsidP="00000A88">
      <w:pPr>
        <w:pStyle w:val="a7"/>
      </w:pPr>
    </w:p>
    <w:p w:rsidR="00000A88" w:rsidRDefault="00000A88" w:rsidP="00000A88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Філіпенко</w:t>
      </w:r>
    </w:p>
    <w:p w:rsidR="00000A88" w:rsidRDefault="00000A88" w:rsidP="00000A88">
      <w:pPr>
        <w:rPr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rPr>
          <w:b/>
          <w:lang w:val="uk-UA"/>
        </w:rPr>
      </w:pPr>
    </w:p>
    <w:p w:rsidR="00000A88" w:rsidRDefault="00000A88" w:rsidP="00000A88">
      <w:pPr>
        <w:ind w:right="818"/>
        <w:rPr>
          <w:bCs/>
          <w:sz w:val="20"/>
          <w:szCs w:val="20"/>
          <w:lang w:val="uk-UA"/>
        </w:rPr>
      </w:pPr>
    </w:p>
    <w:p w:rsidR="00000A88" w:rsidRDefault="00000A88" w:rsidP="00000A88">
      <w:pPr>
        <w:ind w:left="5940" w:right="818"/>
        <w:rPr>
          <w:bCs/>
          <w:sz w:val="20"/>
          <w:szCs w:val="20"/>
          <w:lang w:val="uk-UA"/>
        </w:rPr>
      </w:pPr>
    </w:p>
    <w:p w:rsidR="00000A88" w:rsidRPr="009169FE" w:rsidRDefault="00000A88" w:rsidP="00000A88">
      <w:pPr>
        <w:ind w:left="5940" w:right="818" w:firstLine="432"/>
        <w:rPr>
          <w:bCs/>
          <w:lang w:val="uk-UA"/>
        </w:rPr>
      </w:pPr>
      <w:r w:rsidRPr="009169FE">
        <w:rPr>
          <w:bCs/>
          <w:lang w:val="uk-UA"/>
        </w:rPr>
        <w:lastRenderedPageBreak/>
        <w:t xml:space="preserve">Додаток  </w:t>
      </w:r>
    </w:p>
    <w:p w:rsidR="00000A88" w:rsidRPr="009169FE" w:rsidRDefault="00000A88" w:rsidP="00000A88">
      <w:pPr>
        <w:ind w:left="5940" w:right="-1" w:firstLine="432"/>
        <w:rPr>
          <w:bCs/>
          <w:lang w:val="uk-UA"/>
        </w:rPr>
      </w:pPr>
      <w:r w:rsidRPr="009169FE">
        <w:rPr>
          <w:bCs/>
          <w:lang w:val="uk-UA"/>
        </w:rPr>
        <w:t>до рішення міської ради</w:t>
      </w:r>
    </w:p>
    <w:p w:rsidR="00000A88" w:rsidRPr="009169FE" w:rsidRDefault="00000A88" w:rsidP="00000A88">
      <w:pPr>
        <w:tabs>
          <w:tab w:val="left" w:pos="10065"/>
        </w:tabs>
        <w:ind w:left="5919" w:right="818" w:firstLine="453"/>
        <w:rPr>
          <w:bCs/>
          <w:lang w:val="uk-UA"/>
        </w:rPr>
      </w:pPr>
      <w:r w:rsidRPr="009169FE">
        <w:rPr>
          <w:bCs/>
          <w:lang w:val="uk-UA"/>
        </w:rPr>
        <w:t xml:space="preserve">від                    2018 року  № </w:t>
      </w:r>
    </w:p>
    <w:p w:rsidR="00000A88" w:rsidRPr="00D16035" w:rsidRDefault="00000A88" w:rsidP="00000A88">
      <w:pPr>
        <w:ind w:right="818"/>
        <w:jc w:val="both"/>
        <w:rPr>
          <w:bCs/>
          <w:szCs w:val="28"/>
          <w:lang w:val="uk-UA"/>
        </w:rPr>
      </w:pPr>
    </w:p>
    <w:p w:rsidR="00000A88" w:rsidRDefault="00000A88" w:rsidP="00000A88">
      <w:pPr>
        <w:pStyle w:val="a9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000A88" w:rsidRPr="00A82E17" w:rsidRDefault="00000A88" w:rsidP="00000A88">
      <w:pPr>
        <w:pStyle w:val="a9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НЕЖИТЛОВИХ ПРИМІЩЕНЬ,</w:t>
      </w:r>
    </w:p>
    <w:p w:rsidR="00000A88" w:rsidRPr="00A82E17" w:rsidRDefault="00000A88" w:rsidP="00000A88">
      <w:pPr>
        <w:pStyle w:val="a9"/>
        <w:spacing w:after="0"/>
        <w:jc w:val="center"/>
        <w:rPr>
          <w:b/>
        </w:rPr>
      </w:pPr>
      <w:proofErr w:type="spellStart"/>
      <w:r w:rsidRPr="00A82E17">
        <w:rPr>
          <w:b/>
        </w:rPr>
        <w:t>що</w:t>
      </w:r>
      <w:proofErr w:type="spellEnd"/>
      <w:r w:rsidRPr="00A82E17">
        <w:rPr>
          <w:b/>
        </w:rPr>
        <w:t xml:space="preserve"> </w:t>
      </w:r>
      <w:r w:rsidRPr="00A82E17">
        <w:rPr>
          <w:b/>
          <w:lang w:val="uk-UA"/>
        </w:rPr>
        <w:t xml:space="preserve">передаються в оренду </w:t>
      </w:r>
      <w:r w:rsidRPr="00A82E17">
        <w:rPr>
          <w:b/>
        </w:rPr>
        <w:t xml:space="preserve"> </w:t>
      </w:r>
    </w:p>
    <w:p w:rsidR="00000A88" w:rsidRDefault="00000A88" w:rsidP="00000A88">
      <w:pPr>
        <w:pStyle w:val="a9"/>
        <w:spacing w:after="0"/>
        <w:jc w:val="center"/>
        <w:rPr>
          <w:b/>
          <w:lang w:val="uk-UA"/>
        </w:rPr>
      </w:pPr>
      <w:proofErr w:type="spellStart"/>
      <w:r w:rsidRPr="00A82E17">
        <w:rPr>
          <w:b/>
        </w:rPr>
        <w:t>комунально</w:t>
      </w:r>
      <w:r w:rsidRPr="00A82E17">
        <w:rPr>
          <w:b/>
          <w:lang w:val="uk-UA"/>
        </w:rPr>
        <w:t>му</w:t>
      </w:r>
      <w:proofErr w:type="spellEnd"/>
      <w:r w:rsidRPr="00A82E17">
        <w:rPr>
          <w:b/>
          <w:lang w:val="uk-UA"/>
        </w:rPr>
        <w:t xml:space="preserve"> некомерційному </w:t>
      </w:r>
      <w:proofErr w:type="gramStart"/>
      <w:r w:rsidRPr="00A82E17">
        <w:rPr>
          <w:b/>
          <w:lang w:val="uk-UA"/>
        </w:rPr>
        <w:t>п</w:t>
      </w:r>
      <w:proofErr w:type="gramEnd"/>
      <w:r w:rsidRPr="00A82E17">
        <w:rPr>
          <w:b/>
          <w:lang w:val="uk-UA"/>
        </w:rPr>
        <w:t>ідприємству</w:t>
      </w:r>
      <w:r w:rsidRPr="00A82E17">
        <w:rPr>
          <w:b/>
        </w:rPr>
        <w:t xml:space="preserve"> </w:t>
      </w:r>
    </w:p>
    <w:p w:rsidR="00000A88" w:rsidRPr="00A82E17" w:rsidRDefault="00000A88" w:rsidP="00000A88">
      <w:pPr>
        <w:pStyle w:val="a9"/>
        <w:spacing w:after="0"/>
        <w:jc w:val="center"/>
        <w:rPr>
          <w:b/>
        </w:rPr>
      </w:pPr>
      <w:r w:rsidRPr="00A82E17">
        <w:rPr>
          <w:b/>
        </w:rPr>
        <w:t xml:space="preserve">"Знам’янський </w:t>
      </w:r>
      <w:proofErr w:type="spellStart"/>
      <w:r w:rsidRPr="00A82E17">
        <w:rPr>
          <w:b/>
        </w:rPr>
        <w:t>районний</w:t>
      </w:r>
      <w:proofErr w:type="spellEnd"/>
      <w:r w:rsidRPr="00A82E17">
        <w:rPr>
          <w:b/>
        </w:rPr>
        <w:t xml:space="preserve"> центр </w:t>
      </w:r>
      <w:proofErr w:type="spellStart"/>
      <w:r w:rsidRPr="00A82E17">
        <w:rPr>
          <w:b/>
        </w:rPr>
        <w:t>первинної</w:t>
      </w:r>
      <w:proofErr w:type="spellEnd"/>
      <w:r w:rsidRPr="00A82E17">
        <w:rPr>
          <w:b/>
        </w:rPr>
        <w:t xml:space="preserve"> </w:t>
      </w:r>
      <w:proofErr w:type="spellStart"/>
      <w:proofErr w:type="gramStart"/>
      <w:r w:rsidRPr="00A82E17">
        <w:rPr>
          <w:b/>
        </w:rPr>
        <w:t>медико-сан</w:t>
      </w:r>
      <w:proofErr w:type="gramEnd"/>
      <w:r w:rsidRPr="00A82E17">
        <w:rPr>
          <w:b/>
        </w:rPr>
        <w:t>ітарної</w:t>
      </w:r>
      <w:proofErr w:type="spellEnd"/>
      <w:r w:rsidRPr="00A82E17">
        <w:rPr>
          <w:b/>
        </w:rPr>
        <w:t xml:space="preserve"> </w:t>
      </w:r>
      <w:proofErr w:type="spellStart"/>
      <w:r w:rsidRPr="00A82E17">
        <w:rPr>
          <w:b/>
        </w:rPr>
        <w:t>допомоги</w:t>
      </w:r>
      <w:proofErr w:type="spellEnd"/>
      <w:r w:rsidRPr="00A82E17">
        <w:rPr>
          <w:b/>
        </w:rPr>
        <w:t xml:space="preserve">"  </w:t>
      </w:r>
    </w:p>
    <w:p w:rsidR="00000A88" w:rsidRPr="00D16035" w:rsidRDefault="00000A88" w:rsidP="00000A88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="131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4394"/>
        <w:gridCol w:w="2126"/>
      </w:tblGrid>
      <w:tr w:rsidR="00000A88" w:rsidRPr="00F52286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F52286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2286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000A88" w:rsidRPr="00F52286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2286">
              <w:rPr>
                <w:b/>
                <w:sz w:val="28"/>
                <w:szCs w:val="28"/>
                <w:lang w:val="uk-UA"/>
              </w:rPr>
              <w:t>Номер кабінету</w:t>
            </w:r>
          </w:p>
        </w:tc>
        <w:tc>
          <w:tcPr>
            <w:tcW w:w="2126" w:type="dxa"/>
            <w:shd w:val="clear" w:color="auto" w:fill="auto"/>
          </w:tcPr>
          <w:p w:rsidR="00000A88" w:rsidRPr="00F52286" w:rsidRDefault="00000A88" w:rsidP="00A17BBA">
            <w:pPr>
              <w:ind w:left="-1015" w:firstLine="1015"/>
              <w:jc w:val="center"/>
              <w:rPr>
                <w:b/>
                <w:sz w:val="28"/>
                <w:szCs w:val="28"/>
                <w:lang w:val="uk-UA"/>
              </w:rPr>
            </w:pPr>
            <w:r w:rsidRPr="00F52286">
              <w:rPr>
                <w:b/>
                <w:sz w:val="28"/>
                <w:szCs w:val="28"/>
                <w:lang w:val="uk-UA"/>
              </w:rPr>
              <w:t>Площа в м</w:t>
            </w:r>
            <w:r w:rsidRPr="00F52286">
              <w:rPr>
                <w:b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1" w:type="dxa"/>
            <w:gridSpan w:val="3"/>
            <w:vAlign w:val="center"/>
          </w:tcPr>
          <w:p w:rsidR="00000A88" w:rsidRPr="00A82E17" w:rsidRDefault="00000A88" w:rsidP="00A17BBA">
            <w:pPr>
              <w:ind w:left="-180"/>
              <w:jc w:val="center"/>
              <w:rPr>
                <w:b/>
                <w:lang w:val="uk-UA"/>
              </w:rPr>
            </w:pPr>
            <w:r w:rsidRPr="00A82E17">
              <w:rPr>
                <w:b/>
                <w:lang w:val="uk-UA"/>
              </w:rPr>
              <w:t xml:space="preserve">Частина приміщення першого поверху </w:t>
            </w:r>
            <w:proofErr w:type="spellStart"/>
            <w:r w:rsidRPr="00A82E17">
              <w:rPr>
                <w:b/>
              </w:rPr>
              <w:t>поліклінічного</w:t>
            </w:r>
            <w:proofErr w:type="spellEnd"/>
            <w:r w:rsidRPr="00A82E17">
              <w:rPr>
                <w:b/>
              </w:rPr>
              <w:t xml:space="preserve"> </w:t>
            </w:r>
            <w:proofErr w:type="spellStart"/>
            <w:r w:rsidRPr="00A82E17">
              <w:rPr>
                <w:b/>
              </w:rPr>
              <w:t>відділення</w:t>
            </w:r>
            <w:proofErr w:type="spellEnd"/>
            <w:r w:rsidRPr="00A82E17">
              <w:t xml:space="preserve"> </w:t>
            </w:r>
            <w:r w:rsidRPr="00A82E17">
              <w:rPr>
                <w:b/>
                <w:lang w:val="uk-UA"/>
              </w:rPr>
              <w:t>та головного корпусу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12,6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12,1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12,7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12,3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16,9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11,9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9а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24,7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17,9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43 (№№ 120, 121, 122, 219, 220)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16,3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19 (№ 120)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3,9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36 (№ 137)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8,1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37 (№ 138)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1,7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38 (№ 139)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2,1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39 (№ 140)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9,3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40 (№ 142)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10,7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41 (№ 143)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10,1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архів (№ 141)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6,2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70 (№ 219)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>,0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71 (№ 220)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6,5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72 (№ 221, 222)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16,4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</w:t>
            </w:r>
            <w:r w:rsidRPr="00D16035">
              <w:rPr>
                <w:sz w:val="28"/>
                <w:szCs w:val="28"/>
                <w:lang w:val="uk-UA"/>
              </w:rPr>
              <w:t xml:space="preserve">астина вбиральні 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5,5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D16035">
              <w:rPr>
                <w:sz w:val="28"/>
                <w:szCs w:val="28"/>
                <w:lang w:val="uk-UA"/>
              </w:rPr>
              <w:t>оридор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31,15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16035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000A88" w:rsidRPr="009316A0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316A0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58,0</w:t>
            </w:r>
            <w:r w:rsidRPr="009316A0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1" w:type="dxa"/>
            <w:gridSpan w:val="3"/>
          </w:tcPr>
          <w:p w:rsidR="00000A88" w:rsidRPr="00D16035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16035">
              <w:rPr>
                <w:b/>
                <w:sz w:val="28"/>
                <w:szCs w:val="28"/>
                <w:lang w:val="uk-UA"/>
              </w:rPr>
              <w:t>Частина приміщення господарчого корпусу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D16035">
              <w:rPr>
                <w:sz w:val="28"/>
                <w:szCs w:val="28"/>
                <w:lang w:val="uk-UA"/>
              </w:rPr>
              <w:t>11,05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D16035" w:rsidRDefault="00000A88" w:rsidP="00A17BBA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16035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000A88" w:rsidRPr="009316A0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316A0">
              <w:rPr>
                <w:b/>
                <w:sz w:val="28"/>
                <w:szCs w:val="28"/>
                <w:lang w:val="uk-UA"/>
              </w:rPr>
              <w:t>11,05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9316A0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000A88" w:rsidRPr="009316A0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9316A0">
              <w:rPr>
                <w:sz w:val="28"/>
                <w:szCs w:val="28"/>
                <w:lang w:val="uk-UA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01" w:type="dxa"/>
          </w:tcPr>
          <w:p w:rsidR="00000A88" w:rsidRPr="009316A0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000A88" w:rsidRPr="009316A0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 w:rsidRPr="009316A0">
              <w:rPr>
                <w:sz w:val="28"/>
                <w:szCs w:val="28"/>
                <w:lang w:val="uk-UA"/>
              </w:rPr>
              <w:t>Металевий бокс</w:t>
            </w:r>
          </w:p>
        </w:tc>
        <w:tc>
          <w:tcPr>
            <w:tcW w:w="2126" w:type="dxa"/>
            <w:shd w:val="clear" w:color="auto" w:fill="auto"/>
          </w:tcPr>
          <w:p w:rsidR="00000A88" w:rsidRPr="00D16035" w:rsidRDefault="00000A88" w:rsidP="00A17B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18,5</w:t>
            </w:r>
          </w:p>
        </w:tc>
      </w:tr>
      <w:tr w:rsidR="00000A88" w:rsidRPr="00D16035" w:rsidTr="00A17BB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495" w:type="dxa"/>
            <w:gridSpan w:val="2"/>
          </w:tcPr>
          <w:p w:rsidR="00000A88" w:rsidRPr="009316A0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316A0">
              <w:rPr>
                <w:b/>
                <w:sz w:val="28"/>
                <w:szCs w:val="28"/>
                <w:lang w:val="uk-UA"/>
              </w:rPr>
              <w:t>Загальна площа складає</w:t>
            </w:r>
          </w:p>
        </w:tc>
        <w:tc>
          <w:tcPr>
            <w:tcW w:w="2126" w:type="dxa"/>
            <w:shd w:val="clear" w:color="auto" w:fill="auto"/>
          </w:tcPr>
          <w:p w:rsidR="00000A88" w:rsidRPr="009316A0" w:rsidRDefault="00000A88" w:rsidP="00A17B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316A0">
              <w:rPr>
                <w:b/>
                <w:sz w:val="28"/>
                <w:szCs w:val="28"/>
                <w:lang w:val="uk-UA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>29,6</w:t>
            </w:r>
          </w:p>
        </w:tc>
      </w:tr>
    </w:tbl>
    <w:p w:rsidR="00000A88" w:rsidRPr="009316A0" w:rsidRDefault="00000A88" w:rsidP="00000A88">
      <w:pPr>
        <w:rPr>
          <w:sz w:val="28"/>
          <w:szCs w:val="28"/>
          <w:lang w:val="uk-UA"/>
        </w:rPr>
      </w:pPr>
    </w:p>
    <w:p w:rsidR="00000A88" w:rsidRDefault="00000A88" w:rsidP="00000A88">
      <w:pPr>
        <w:jc w:val="center"/>
        <w:textAlignment w:val="baseline"/>
        <w:rPr>
          <w:sz w:val="28"/>
          <w:lang w:val="uk-UA"/>
        </w:rPr>
      </w:pPr>
    </w:p>
    <w:p w:rsidR="00000A88" w:rsidRDefault="00000A88" w:rsidP="00000A88">
      <w:pPr>
        <w:textAlignment w:val="baseline"/>
        <w:rPr>
          <w:sz w:val="28"/>
          <w:lang w:val="uk-UA"/>
        </w:rPr>
      </w:pPr>
    </w:p>
    <w:p w:rsidR="00000A88" w:rsidRDefault="00000A88" w:rsidP="00000A88">
      <w:pPr>
        <w:textAlignment w:val="baseline"/>
        <w:rPr>
          <w:sz w:val="28"/>
          <w:lang w:val="uk-UA"/>
        </w:rPr>
      </w:pPr>
    </w:p>
    <w:p w:rsidR="00000A88" w:rsidRDefault="00000A88" w:rsidP="00000A88">
      <w:pPr>
        <w:textAlignment w:val="baseline"/>
        <w:rPr>
          <w:sz w:val="28"/>
          <w:lang w:val="uk-UA"/>
        </w:rPr>
      </w:pPr>
    </w:p>
    <w:p w:rsidR="00000A88" w:rsidRDefault="00000A88" w:rsidP="00000A88">
      <w:pPr>
        <w:textAlignment w:val="baseline"/>
        <w:rPr>
          <w:sz w:val="28"/>
          <w:lang w:val="uk-UA"/>
        </w:rPr>
      </w:pPr>
    </w:p>
    <w:p w:rsidR="00000A88" w:rsidRDefault="00000A88" w:rsidP="00000A88">
      <w:pPr>
        <w:textAlignment w:val="baseline"/>
        <w:rPr>
          <w:sz w:val="28"/>
          <w:lang w:val="uk-UA"/>
        </w:rPr>
      </w:pPr>
    </w:p>
    <w:p w:rsidR="00000A88" w:rsidRDefault="00000A88" w:rsidP="00000A88">
      <w:pPr>
        <w:textAlignment w:val="baseline"/>
        <w:rPr>
          <w:sz w:val="28"/>
          <w:lang w:val="uk-UA"/>
        </w:rPr>
      </w:pPr>
    </w:p>
    <w:p w:rsidR="00000A88" w:rsidRDefault="00000A88" w:rsidP="00000A88"/>
    <w:p w:rsidR="00000A88" w:rsidRDefault="00000A88" w:rsidP="00000A88">
      <w:pPr>
        <w:rPr>
          <w:b/>
          <w:lang w:val="uk-UA"/>
        </w:rPr>
      </w:pPr>
    </w:p>
    <w:p w:rsidR="00000A88" w:rsidRPr="00000A88" w:rsidRDefault="00000A88">
      <w:pPr>
        <w:rPr>
          <w:lang w:val="uk-UA"/>
        </w:rPr>
      </w:pPr>
    </w:p>
    <w:sectPr w:rsidR="00000A88" w:rsidRPr="00000A88" w:rsidSect="007E4CC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00A88"/>
    <w:rsid w:val="00012F31"/>
    <w:rsid w:val="002119C9"/>
    <w:rsid w:val="00380A2C"/>
    <w:rsid w:val="003D1A62"/>
    <w:rsid w:val="004F2B98"/>
    <w:rsid w:val="00672394"/>
    <w:rsid w:val="0077539F"/>
    <w:rsid w:val="007A7C2B"/>
    <w:rsid w:val="007E4CC3"/>
    <w:rsid w:val="008932E8"/>
    <w:rsid w:val="008B1C6E"/>
    <w:rsid w:val="00984C97"/>
    <w:rsid w:val="00A3728A"/>
    <w:rsid w:val="00E4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B98"/>
  </w:style>
  <w:style w:type="paragraph" w:styleId="3">
    <w:name w:val="heading 3"/>
    <w:basedOn w:val="a"/>
    <w:next w:val="a"/>
    <w:link w:val="30"/>
    <w:qFormat/>
    <w:rsid w:val="00000A8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00A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000A8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000A8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000A8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00A8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14</cp:revision>
  <cp:lastPrinted>2018-11-12T09:21:00Z</cp:lastPrinted>
  <dcterms:created xsi:type="dcterms:W3CDTF">2018-05-02T11:47:00Z</dcterms:created>
  <dcterms:modified xsi:type="dcterms:W3CDTF">2018-11-14T09:17:00Z</dcterms:modified>
</cp:coreProperties>
</file>