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6C5" w:rsidRDefault="00FE06C5" w:rsidP="00FE06C5">
      <w:pPr>
        <w:overflowPunct w:val="0"/>
        <w:autoSpaceDE w:val="0"/>
        <w:autoSpaceDN w:val="0"/>
        <w:adjustRightInd w:val="0"/>
        <w:spacing w:after="0" w:line="240" w:lineRule="auto"/>
        <w:ind w:left="-142" w:firstLine="709"/>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FE06C5" w:rsidRDefault="00FE06C5" w:rsidP="00FE06C5">
      <w:pPr>
        <w:overflowPunct w:val="0"/>
        <w:autoSpaceDE w:val="0"/>
        <w:autoSpaceDN w:val="0"/>
        <w:adjustRightInd w:val="0"/>
        <w:spacing w:after="0" w:line="240" w:lineRule="auto"/>
        <w:ind w:left="-142" w:firstLine="709"/>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FE06C5" w:rsidRDefault="00FE06C5" w:rsidP="00FE06C5">
      <w:pPr>
        <w:overflowPunct w:val="0"/>
        <w:autoSpaceDE w:val="0"/>
        <w:autoSpaceDN w:val="0"/>
        <w:adjustRightInd w:val="0"/>
        <w:spacing w:after="0" w:line="240" w:lineRule="auto"/>
        <w:ind w:left="-142" w:firstLine="709"/>
        <w:jc w:val="center"/>
        <w:rPr>
          <w:rFonts w:ascii="Times New Roman" w:hAnsi="Times New Roman"/>
          <w:b/>
          <w:bCs/>
          <w:sz w:val="24"/>
          <w:szCs w:val="24"/>
          <w:lang w:val="uk-UA"/>
        </w:rPr>
      </w:pPr>
      <w:r>
        <w:rPr>
          <w:rFonts w:ascii="Times New Roman" w:hAnsi="Times New Roman"/>
          <w:b/>
          <w:bCs/>
          <w:sz w:val="24"/>
          <w:szCs w:val="24"/>
          <w:lang w:val="uk-UA"/>
        </w:rPr>
        <w:t>протягом січня-березня 2020 року.</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січня – березня 2020 року до виконавчого комітету Знам`янської міської ради надійшло 445 звернень громадян.</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 них 302 звернення надійшло поштою </w:t>
      </w:r>
      <w:r>
        <w:rPr>
          <w:rFonts w:ascii="Times New Roman" w:hAnsi="Times New Roman"/>
          <w:sz w:val="24"/>
          <w:szCs w:val="24"/>
        </w:rPr>
        <w:t xml:space="preserve">(у </w:t>
      </w:r>
      <w:proofErr w:type="spellStart"/>
      <w:r>
        <w:rPr>
          <w:rFonts w:ascii="Times New Roman" w:hAnsi="Times New Roman"/>
          <w:sz w:val="24"/>
          <w:szCs w:val="24"/>
        </w:rPr>
        <w:t>відповідний</w:t>
      </w:r>
      <w:proofErr w:type="spellEnd"/>
      <w:r>
        <w:rPr>
          <w:rFonts w:ascii="Times New Roman" w:hAnsi="Times New Roman"/>
          <w:sz w:val="24"/>
          <w:szCs w:val="24"/>
        </w:rPr>
        <w:t xml:space="preserve"> </w:t>
      </w:r>
      <w:proofErr w:type="spellStart"/>
      <w:r>
        <w:rPr>
          <w:rFonts w:ascii="Times New Roman" w:hAnsi="Times New Roman"/>
          <w:sz w:val="24"/>
          <w:szCs w:val="24"/>
        </w:rPr>
        <w:t>період</w:t>
      </w:r>
      <w:proofErr w:type="spellEnd"/>
      <w:r>
        <w:rPr>
          <w:rFonts w:ascii="Times New Roman" w:hAnsi="Times New Roman"/>
          <w:sz w:val="24"/>
          <w:szCs w:val="24"/>
        </w:rPr>
        <w:t xml:space="preserve"> 201</w:t>
      </w:r>
      <w:r>
        <w:rPr>
          <w:rFonts w:ascii="Times New Roman" w:hAnsi="Times New Roman"/>
          <w:sz w:val="24"/>
          <w:szCs w:val="24"/>
          <w:lang w:val="uk-UA"/>
        </w:rPr>
        <w:t>9</w:t>
      </w:r>
      <w:r>
        <w:rPr>
          <w:rFonts w:ascii="Times New Roman" w:hAnsi="Times New Roman"/>
          <w:sz w:val="24"/>
          <w:szCs w:val="24"/>
        </w:rPr>
        <w:t xml:space="preserve"> року - </w:t>
      </w:r>
      <w:r>
        <w:rPr>
          <w:rFonts w:ascii="Times New Roman" w:hAnsi="Times New Roman"/>
          <w:sz w:val="24"/>
          <w:szCs w:val="24"/>
          <w:lang w:val="uk-UA"/>
        </w:rPr>
        <w:t>365</w:t>
      </w:r>
      <w:r>
        <w:rPr>
          <w:rFonts w:ascii="Times New Roman" w:hAnsi="Times New Roman"/>
          <w:sz w:val="24"/>
          <w:szCs w:val="24"/>
        </w:rPr>
        <w:t xml:space="preserve">). </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41 громадянин</w:t>
      </w:r>
      <w:r w:rsidR="00410228">
        <w:rPr>
          <w:rFonts w:ascii="Times New Roman" w:hAnsi="Times New Roman"/>
          <w:sz w:val="24"/>
          <w:szCs w:val="24"/>
        </w:rPr>
        <w:t xml:space="preserve"> (</w:t>
      </w:r>
      <w:r>
        <w:rPr>
          <w:rFonts w:ascii="Times New Roman" w:hAnsi="Times New Roman"/>
          <w:sz w:val="24"/>
          <w:szCs w:val="24"/>
        </w:rPr>
        <w:t xml:space="preserve">у </w:t>
      </w:r>
      <w:proofErr w:type="spellStart"/>
      <w:r>
        <w:rPr>
          <w:rFonts w:ascii="Times New Roman" w:hAnsi="Times New Roman"/>
          <w:sz w:val="24"/>
          <w:szCs w:val="24"/>
        </w:rPr>
        <w:t>відповідний</w:t>
      </w:r>
      <w:proofErr w:type="spellEnd"/>
      <w:r>
        <w:rPr>
          <w:rFonts w:ascii="Times New Roman" w:hAnsi="Times New Roman"/>
          <w:sz w:val="24"/>
          <w:szCs w:val="24"/>
        </w:rPr>
        <w:t xml:space="preserve"> </w:t>
      </w:r>
      <w:proofErr w:type="spellStart"/>
      <w:r>
        <w:rPr>
          <w:rFonts w:ascii="Times New Roman" w:hAnsi="Times New Roman"/>
          <w:sz w:val="24"/>
          <w:szCs w:val="24"/>
        </w:rPr>
        <w:t>період</w:t>
      </w:r>
      <w:proofErr w:type="spellEnd"/>
      <w:r>
        <w:rPr>
          <w:rFonts w:ascii="Times New Roman" w:hAnsi="Times New Roman"/>
          <w:sz w:val="24"/>
          <w:szCs w:val="24"/>
        </w:rPr>
        <w:t xml:space="preserve"> 201</w:t>
      </w:r>
      <w:r>
        <w:rPr>
          <w:rFonts w:ascii="Times New Roman" w:hAnsi="Times New Roman"/>
          <w:sz w:val="24"/>
          <w:szCs w:val="24"/>
          <w:lang w:val="uk-UA"/>
        </w:rPr>
        <w:t>9</w:t>
      </w:r>
      <w:r>
        <w:rPr>
          <w:rFonts w:ascii="Times New Roman" w:hAnsi="Times New Roman"/>
          <w:sz w:val="24"/>
          <w:szCs w:val="24"/>
        </w:rPr>
        <w:t xml:space="preserve"> року - </w:t>
      </w:r>
      <w:r>
        <w:rPr>
          <w:rFonts w:ascii="Times New Roman" w:hAnsi="Times New Roman"/>
          <w:sz w:val="24"/>
          <w:szCs w:val="24"/>
          <w:lang w:val="uk-UA"/>
        </w:rPr>
        <w:t>7</w:t>
      </w:r>
      <w:r>
        <w:rPr>
          <w:rFonts w:ascii="Times New Roman" w:hAnsi="Times New Roman"/>
          <w:sz w:val="24"/>
          <w:szCs w:val="24"/>
        </w:rPr>
        <w:t>).</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FE06C5" w:rsidRDefault="00FE06C5" w:rsidP="00FE06C5">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6;</w:t>
      </w:r>
    </w:p>
    <w:p w:rsidR="00FE06C5" w:rsidRDefault="00FE06C5" w:rsidP="00FE06C5">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96;</w:t>
      </w:r>
    </w:p>
    <w:p w:rsidR="004B6941" w:rsidRDefault="004B6941" w:rsidP="004B6941">
      <w:pPr>
        <w:overflowPunct w:val="0"/>
        <w:autoSpaceDE w:val="0"/>
        <w:autoSpaceDN w:val="0"/>
        <w:adjustRightInd w:val="0"/>
        <w:spacing w:after="0" w:line="240" w:lineRule="auto"/>
        <w:ind w:left="426"/>
        <w:jc w:val="both"/>
        <w:rPr>
          <w:rFonts w:ascii="Times New Roman" w:hAnsi="Times New Roman"/>
          <w:sz w:val="24"/>
          <w:szCs w:val="24"/>
          <w:lang w:val="uk-UA"/>
        </w:rPr>
      </w:pPr>
      <w:r w:rsidRPr="004B6941">
        <w:rPr>
          <w:rFonts w:ascii="Times New Roman" w:hAnsi="Times New Roman"/>
          <w:noProof/>
          <w:sz w:val="24"/>
          <w:szCs w:val="24"/>
          <w:lang w:eastAsia="ru-RU"/>
        </w:rPr>
        <w:drawing>
          <wp:inline distT="0" distB="0" distL="0" distR="0">
            <wp:extent cx="5486400" cy="320040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B6941" w:rsidRDefault="004B6941"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17 (у відповідний період 2019 року – 18), анонімних звернень – 3 (у відповідний період 2019 року – 3).</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громадян, які звернулися – 622 (у відповідний період 2019 року – 823).</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повторних звернень – 0 (у відповідний період 2019 року – 6).</w:t>
      </w:r>
    </w:p>
    <w:p w:rsidR="004B6941" w:rsidRDefault="004B6941"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4B6941" w:rsidRDefault="004B6941"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sidRPr="004B6941">
        <w:rPr>
          <w:rFonts w:ascii="Times New Roman" w:hAnsi="Times New Roman"/>
          <w:b/>
          <w:noProof/>
          <w:sz w:val="24"/>
          <w:szCs w:val="24"/>
          <w:lang w:eastAsia="ru-RU"/>
        </w:rPr>
        <w:drawing>
          <wp:inline distT="0" distB="0" distL="0" distR="0">
            <wp:extent cx="4882560" cy="2838893"/>
            <wp:effectExtent l="1905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B6941" w:rsidRDefault="004B6941"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FE06C5" w:rsidRDefault="00FE06C5" w:rsidP="00FE06C5">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lastRenderedPageBreak/>
        <w:t>Основні питання, що порушувались у зверненнях громадян протягом січня – березня 2020 року згідно Класифікатора звернень громадян:</w:t>
      </w:r>
    </w:p>
    <w:p w:rsidR="00954AB4"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- 58 (за відповідний період 2019 року – 43); </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9 (за відповідний період 2019 року – 5); </w:t>
      </w:r>
    </w:p>
    <w:p w:rsidR="00FE06C5" w:rsidRDefault="00FE06C5" w:rsidP="00FE06C5">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11 (за відповідний період 2019 року – 6); </w:t>
      </w:r>
    </w:p>
    <w:p w:rsidR="00FE06C5" w:rsidRDefault="00FE06C5" w:rsidP="00FE06C5">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1 (за відповідний період 2019 року – 0);</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- 209 (за відповідний період 2019 року -305);</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24 (за відповідний період 2019  року – 25);</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31 (за відповідний період 2019 року – 12);</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43 (за відповідний період 2019 року – 102);</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10 (за відповідний період 2019 року – 27);</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3 (за відповідний період 2019 року – 3);</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11 (за відповідний період 2019 року – 3);</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w:t>
      </w:r>
      <w:r w:rsidR="004B6941">
        <w:rPr>
          <w:rFonts w:ascii="Times New Roman" w:hAnsi="Times New Roman"/>
          <w:sz w:val="24"/>
          <w:szCs w:val="24"/>
          <w:lang w:val="uk-UA" w:eastAsia="ru-RU"/>
        </w:rPr>
        <w:t xml:space="preserve">тей – 6 (за відповідний період </w:t>
      </w:r>
      <w:r w:rsidR="004B6941">
        <w:rPr>
          <w:rFonts w:ascii="Times New Roman" w:hAnsi="Times New Roman"/>
          <w:sz w:val="24"/>
          <w:szCs w:val="24"/>
          <w:lang w:val="uk-UA" w:eastAsia="ru-RU"/>
        </w:rPr>
        <w:br/>
      </w:r>
      <w:r>
        <w:rPr>
          <w:rFonts w:ascii="Times New Roman" w:hAnsi="Times New Roman"/>
          <w:sz w:val="24"/>
          <w:szCs w:val="24"/>
          <w:lang w:val="uk-UA" w:eastAsia="ru-RU"/>
        </w:rPr>
        <w:t>2019 року – 8);</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0 (за відповідний період 2019 року – 3);</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1 (за відповідний період 2019 року – 0);</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1 (за відповідний період 2019 року – 4);</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0 (за відповідний період 2019 року – 1);</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190 – діяльність об’єднань громадян, релігія та міжконфесійні відносини – 0 (за відповідний період 2019 року – 1); </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- 1 (за відповідний період 2019 року -0);</w:t>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33 (за відповідний період 2019 року – 6).</w:t>
      </w:r>
      <w:r>
        <w:rPr>
          <w:rFonts w:ascii="Times New Roman" w:hAnsi="Times New Roman"/>
          <w:sz w:val="24"/>
          <w:szCs w:val="24"/>
          <w:lang w:val="uk-UA" w:eastAsia="ru-RU"/>
        </w:rPr>
        <w:tab/>
      </w:r>
    </w:p>
    <w:p w:rsidR="00A57922" w:rsidRDefault="00A57922" w:rsidP="00FE06C5">
      <w:pPr>
        <w:autoSpaceDN w:val="0"/>
        <w:spacing w:after="0" w:line="240" w:lineRule="auto"/>
        <w:ind w:left="-142"/>
        <w:jc w:val="both"/>
        <w:rPr>
          <w:rFonts w:ascii="Times New Roman" w:hAnsi="Times New Roman"/>
          <w:sz w:val="24"/>
          <w:szCs w:val="24"/>
          <w:lang w:val="uk-UA" w:eastAsia="ru-RU"/>
        </w:rPr>
      </w:pPr>
    </w:p>
    <w:p w:rsidR="00A57922" w:rsidRDefault="00954AB4" w:rsidP="00954AB4">
      <w:pPr>
        <w:autoSpaceDN w:val="0"/>
        <w:spacing w:after="0" w:line="240" w:lineRule="auto"/>
        <w:ind w:left="-567"/>
        <w:jc w:val="center"/>
        <w:rPr>
          <w:rFonts w:ascii="Times New Roman" w:hAnsi="Times New Roman"/>
          <w:sz w:val="24"/>
          <w:szCs w:val="24"/>
          <w:lang w:val="uk-UA" w:eastAsia="ru-RU"/>
        </w:rPr>
      </w:pPr>
      <w:r>
        <w:rPr>
          <w:rFonts w:ascii="Times New Roman" w:hAnsi="Times New Roman"/>
          <w:noProof/>
          <w:sz w:val="24"/>
          <w:szCs w:val="24"/>
          <w:lang w:eastAsia="ru-RU"/>
        </w:rPr>
        <w:drawing>
          <wp:inline distT="0" distB="0" distL="0" distR="0">
            <wp:extent cx="6041932" cy="421727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046904" cy="4220740"/>
                    </a:xfrm>
                    <a:prstGeom prst="rect">
                      <a:avLst/>
                    </a:prstGeom>
                    <a:noFill/>
                    <a:ln w="9525">
                      <a:noFill/>
                      <a:miter lim="800000"/>
                      <a:headEnd/>
                      <a:tailEnd/>
                    </a:ln>
                  </pic:spPr>
                </pic:pic>
              </a:graphicData>
            </a:graphic>
          </wp:inline>
        </w:drawing>
      </w:r>
    </w:p>
    <w:p w:rsidR="00FE06C5" w:rsidRDefault="00FE06C5" w:rsidP="00FE06C5">
      <w:pPr>
        <w:autoSpaceDN w:val="0"/>
        <w:spacing w:after="0" w:line="240" w:lineRule="auto"/>
        <w:ind w:left="-142"/>
        <w:jc w:val="both"/>
        <w:rPr>
          <w:rFonts w:ascii="Times New Roman" w:hAnsi="Times New Roman"/>
          <w:sz w:val="24"/>
          <w:szCs w:val="24"/>
          <w:lang w:val="uk-UA" w:eastAsia="ru-RU"/>
        </w:rPr>
      </w:pPr>
      <w:r>
        <w:rPr>
          <w:rFonts w:ascii="Times New Roman" w:hAnsi="Times New Roman"/>
          <w:i/>
          <w:sz w:val="24"/>
          <w:szCs w:val="24"/>
          <w:lang w:val="uk-UA" w:eastAsia="ru-RU"/>
        </w:rPr>
        <w:lastRenderedPageBreak/>
        <w:t xml:space="preserve">За соціальним станом авторів звернень: </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 120; </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робітників – 26;</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підприємців – 2;</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безробітних – 8;</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інших – 289.</w:t>
      </w:r>
    </w:p>
    <w:p w:rsidR="00954AB4" w:rsidRDefault="00954AB4" w:rsidP="00FE715B">
      <w:pPr>
        <w:overflowPunct w:val="0"/>
        <w:autoSpaceDE w:val="0"/>
        <w:autoSpaceDN w:val="0"/>
        <w:adjustRightInd w:val="0"/>
        <w:spacing w:after="0" w:line="240" w:lineRule="auto"/>
        <w:ind w:left="-142"/>
        <w:jc w:val="center"/>
        <w:rPr>
          <w:rFonts w:ascii="Times New Roman" w:hAnsi="Times New Roman"/>
          <w:sz w:val="24"/>
          <w:szCs w:val="24"/>
          <w:lang w:val="uk-UA" w:eastAsia="ru-RU"/>
        </w:rPr>
      </w:pPr>
      <w:r>
        <w:rPr>
          <w:rFonts w:ascii="Times New Roman" w:hAnsi="Times New Roman"/>
          <w:noProof/>
          <w:sz w:val="24"/>
          <w:szCs w:val="24"/>
          <w:lang w:eastAsia="ru-RU"/>
        </w:rPr>
        <w:drawing>
          <wp:inline distT="0" distB="0" distL="0" distR="0">
            <wp:extent cx="5067300" cy="2257425"/>
            <wp:effectExtent l="1905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E06C5" w:rsidRDefault="00FE06C5" w:rsidP="00FE06C5">
      <w:pPr>
        <w:overflowPunct w:val="0"/>
        <w:autoSpaceDE w:val="0"/>
        <w:autoSpaceDN w:val="0"/>
        <w:adjustRightInd w:val="0"/>
        <w:spacing w:after="0" w:line="240" w:lineRule="auto"/>
        <w:ind w:hanging="142"/>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1;</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дітей війни – 2;</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5;</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6;</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16;</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15;</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24;</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6;</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матерів героїнь -1;</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багатодітних сімей</w:t>
      </w:r>
      <w:r w:rsidR="00954AB4">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1; </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1;</w:t>
      </w:r>
    </w:p>
    <w:p w:rsidR="00FE715B"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367. </w:t>
      </w:r>
    </w:p>
    <w:p w:rsidR="00FE06C5" w:rsidRPr="00FE715B" w:rsidRDefault="00FE715B" w:rsidP="00C95372">
      <w:pPr>
        <w:overflowPunct w:val="0"/>
        <w:autoSpaceDE w:val="0"/>
        <w:autoSpaceDN w:val="0"/>
        <w:adjustRightInd w:val="0"/>
        <w:spacing w:after="0" w:line="240" w:lineRule="auto"/>
        <w:ind w:left="-567"/>
        <w:jc w:val="both"/>
        <w:rPr>
          <w:rFonts w:ascii="Times New Roman" w:hAnsi="Times New Roman"/>
          <w:lang w:val="uk-UA" w:eastAsia="ru-RU"/>
        </w:rPr>
      </w:pPr>
      <w:r w:rsidRPr="00FE715B">
        <w:rPr>
          <w:rFonts w:ascii="Times New Roman" w:hAnsi="Times New Roman"/>
          <w:noProof/>
          <w:lang w:eastAsia="ru-RU"/>
        </w:rPr>
        <w:drawing>
          <wp:inline distT="0" distB="0" distL="0" distR="0">
            <wp:extent cx="6448425" cy="3581400"/>
            <wp:effectExtent l="19050" t="0" r="0" b="0"/>
            <wp:docPr id="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lastRenderedPageBreak/>
        <w:t>Всі звернення розглянуті, дані відповідні доручення виконавцям. Комплекс питань соціального захисту у зверненнях громадян є найактуальнішим, другими за кількістю є питання комунальної сфери, далі йдуть земельні питання.</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0"/>
          <w:szCs w:val="28"/>
          <w:lang w:val="uk-UA" w:eastAsia="ru-RU"/>
        </w:rPr>
      </w:pPr>
      <w:r>
        <w:rPr>
          <w:rFonts w:ascii="Times New Roman" w:eastAsia="Times New Roman" w:hAnsi="Times New Roman"/>
          <w:sz w:val="24"/>
          <w:szCs w:val="24"/>
          <w:lang w:val="uk-UA"/>
        </w:rPr>
        <w:t>Особистий прийом проводиться міським головою, керівництвом міської ради та виконавчого комітету, відповідно до графіків, затверджених розпорядженням міського голови №17 від 29 січня 2016 р. та розпорядженням міської ради №6 від 1 лютого 2016 р. «Про затвердження графіка особистого прийому та особистого виїзного прийому громадян керівництвом виконавчого комітету Знам`янської міської ради». Графік опублікований на веб-сайті Знам’янської міської ради та доведений до відома мешканців міста, а також розміщений на інформаційному стенді в приміщенні міськвиконкому.</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Міським головою згідно з затвердженим графіком проведено особисті прийоми громадян, на які звернулися 41 мешканець міста.</w:t>
      </w:r>
      <w:r>
        <w:rPr>
          <w:rFonts w:ascii="Times New Roman" w:hAnsi="Times New Roman"/>
          <w:sz w:val="24"/>
          <w:szCs w:val="24"/>
          <w:lang w:val="uk-UA"/>
        </w:rPr>
        <w:t xml:space="preserve"> </w:t>
      </w:r>
      <w:r>
        <w:rPr>
          <w:rFonts w:ascii="Times New Roman" w:eastAsia="Times New Roman" w:hAnsi="Times New Roman"/>
          <w:sz w:val="24"/>
          <w:szCs w:val="28"/>
          <w:lang w:val="uk-UA" w:eastAsia="ru-RU"/>
        </w:rPr>
        <w:t>Порушувались питання соціального захисту, комунального господарства та житлової політики, транспорту і зв’язку, захисту прав споживачів, охорони здоров’я, освіти та культури.</w:t>
      </w:r>
    </w:p>
    <w:p w:rsidR="00FE06C5" w:rsidRDefault="00FE06C5" w:rsidP="00FE06C5">
      <w:pPr>
        <w:tabs>
          <w:tab w:val="left" w:pos="0"/>
        </w:tabs>
        <w:overflowPunct w:val="0"/>
        <w:autoSpaceDE w:val="0"/>
        <w:autoSpaceDN w:val="0"/>
        <w:adjustRightInd w:val="0"/>
        <w:spacing w:after="0" w:line="240" w:lineRule="auto"/>
        <w:ind w:left="-142" w:right="-1"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rPr>
        <w:t xml:space="preserve">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roofErr w:type="spellStart"/>
      <w:r>
        <w:rPr>
          <w:rFonts w:ascii="Times New Roman" w:eastAsia="Times New Roman" w:hAnsi="Times New Roman"/>
          <w:sz w:val="24"/>
          <w:szCs w:val="24"/>
          <w:lang w:eastAsia="ru-RU"/>
        </w:rPr>
        <w:t>Всіх</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заявників</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обов</w:t>
      </w:r>
      <w:proofErr w:type="gramStart"/>
      <w:r>
        <w:rPr>
          <w:rFonts w:ascii="Times New Roman" w:eastAsia="Times New Roman" w:hAnsi="Times New Roman"/>
          <w:sz w:val="24"/>
          <w:szCs w:val="24"/>
          <w:lang w:eastAsia="ru-RU"/>
        </w:rPr>
        <w:t>`я</w:t>
      </w:r>
      <w:proofErr w:type="gramEnd"/>
      <w:r>
        <w:rPr>
          <w:rFonts w:ascii="Times New Roman" w:eastAsia="Times New Roman" w:hAnsi="Times New Roman"/>
          <w:sz w:val="24"/>
          <w:szCs w:val="24"/>
          <w:lang w:eastAsia="ru-RU"/>
        </w:rPr>
        <w:t>зково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повідомляють</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письмово</w:t>
      </w:r>
      <w:proofErr w:type="spellEnd"/>
      <w:r>
        <w:rPr>
          <w:rFonts w:ascii="Times New Roman" w:eastAsia="Times New Roman" w:hAnsi="Times New Roman"/>
          <w:sz w:val="24"/>
          <w:szCs w:val="24"/>
          <w:lang w:eastAsia="ru-RU"/>
        </w:rPr>
        <w:t xml:space="preserve"> про </w:t>
      </w:r>
      <w:proofErr w:type="spellStart"/>
      <w:r>
        <w:rPr>
          <w:rFonts w:ascii="Times New Roman" w:eastAsia="Times New Roman" w:hAnsi="Times New Roman"/>
          <w:sz w:val="24"/>
          <w:szCs w:val="24"/>
          <w:lang w:eastAsia="ru-RU"/>
        </w:rPr>
        <w:t>результати</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розгляду</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їх</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звернень</w:t>
      </w:r>
      <w:proofErr w:type="spellEnd"/>
      <w:r>
        <w:rPr>
          <w:rFonts w:ascii="Times New Roman" w:eastAsia="Times New Roman" w:hAnsi="Times New Roman"/>
          <w:sz w:val="24"/>
          <w:szCs w:val="24"/>
          <w:lang w:eastAsia="ru-RU"/>
        </w:rPr>
        <w:t xml:space="preserve"> у </w:t>
      </w:r>
      <w:proofErr w:type="spellStart"/>
      <w:r>
        <w:rPr>
          <w:rFonts w:ascii="Times New Roman" w:eastAsia="Times New Roman" w:hAnsi="Times New Roman"/>
          <w:sz w:val="24"/>
          <w:szCs w:val="24"/>
          <w:lang w:eastAsia="ru-RU"/>
        </w:rPr>
        <w:t>терміни</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визначені</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законодавством</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України</w:t>
      </w:r>
      <w:proofErr w:type="spellEnd"/>
      <w:r>
        <w:rPr>
          <w:rFonts w:ascii="Times New Roman" w:eastAsia="Times New Roman" w:hAnsi="Times New Roman"/>
          <w:sz w:val="24"/>
          <w:szCs w:val="24"/>
          <w:lang w:eastAsia="ru-RU"/>
        </w:rPr>
        <w:t>.</w:t>
      </w:r>
    </w:p>
    <w:p w:rsidR="00FE06C5" w:rsidRDefault="00FE06C5" w:rsidP="00FE06C5">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Управлінням соціального захисту населення всі звернення, які надходять беруться на контроль і по ним приймаються відповідні рішення та надається відповідь.</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Так до управління надійшло 218 письмових звернень громадян, в тому числі:</w:t>
      </w:r>
    </w:p>
    <w:p w:rsidR="00FE06C5" w:rsidRDefault="00FE06C5" w:rsidP="00FE06C5">
      <w:pPr>
        <w:numPr>
          <w:ilvl w:val="0"/>
          <w:numId w:val="2"/>
        </w:num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через органи влади - 205</w:t>
      </w:r>
    </w:p>
    <w:p w:rsidR="00FE06C5" w:rsidRDefault="00FE06C5" w:rsidP="00FE06C5">
      <w:pPr>
        <w:numPr>
          <w:ilvl w:val="0"/>
          <w:numId w:val="2"/>
        </w:num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безпосередньо в управління – 13.</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 звітний період територіальним центром 5 осіб забезпечені інвалідними візками, ходунками, милицями з пункту прокату терцентру.</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«Соціальним таксі» виконано 53 замовлення: доставка 47 ветеранів та осіб з інвалідністю до медичних закладів міста і області.</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Обстежено житлово-побутові умови проживання 53 пенсіонерів та осіб з інвалідністю, з них 12 особи,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11 особам. З метою контролю якості обслуговування та визначення ступеня індивідуальних потреб здійснені обстеження умов проживання 32 осіб, які перебувають на обліку терцентру. </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Центрі соціальних та компенсаційних виплат  нараховується </w:t>
      </w:r>
      <w:r>
        <w:rPr>
          <w:rFonts w:ascii="Times New Roman" w:eastAsia="Times New Roman" w:hAnsi="Times New Roman"/>
          <w:sz w:val="24"/>
          <w:szCs w:val="24"/>
          <w:lang w:eastAsia="ru-RU"/>
        </w:rPr>
        <w:t xml:space="preserve">7978 </w:t>
      </w:r>
      <w:r>
        <w:rPr>
          <w:rFonts w:ascii="Times New Roman" w:eastAsia="Times New Roman" w:hAnsi="Times New Roman"/>
          <w:sz w:val="24"/>
          <w:szCs w:val="24"/>
          <w:lang w:val="uk-UA" w:eastAsia="ru-RU"/>
        </w:rPr>
        <w:t>отримувачів адресних допомог, в тому числі:</w:t>
      </w:r>
    </w:p>
    <w:p w:rsidR="00FE06C5" w:rsidRDefault="00FE06C5" w:rsidP="00FE06C5">
      <w:pPr>
        <w:suppressAutoHyphens/>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адресних соціальних допомог – </w:t>
      </w:r>
      <w:r>
        <w:rPr>
          <w:rFonts w:ascii="Times New Roman" w:eastAsia="Times New Roman" w:hAnsi="Times New Roman"/>
          <w:sz w:val="24"/>
          <w:szCs w:val="24"/>
          <w:lang w:eastAsia="ru-RU"/>
        </w:rPr>
        <w:t>3662</w:t>
      </w:r>
      <w:r>
        <w:rPr>
          <w:rFonts w:ascii="Times New Roman" w:eastAsia="Times New Roman" w:hAnsi="Times New Roman"/>
          <w:sz w:val="24"/>
          <w:szCs w:val="24"/>
          <w:lang w:val="uk-UA" w:eastAsia="ru-RU"/>
        </w:rPr>
        <w:t>;</w:t>
      </w:r>
    </w:p>
    <w:p w:rsidR="00FE06C5" w:rsidRDefault="00FE06C5" w:rsidP="00FE06C5">
      <w:pPr>
        <w:suppressAutoHyphens/>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субсидій </w:t>
      </w:r>
      <w:r>
        <w:rPr>
          <w:rFonts w:ascii="Times New Roman" w:eastAsia="Times New Roman" w:hAnsi="Times New Roman"/>
          <w:sz w:val="24"/>
          <w:szCs w:val="24"/>
          <w:lang w:eastAsia="ru-RU"/>
        </w:rPr>
        <w:t>-3989</w:t>
      </w:r>
      <w:r>
        <w:rPr>
          <w:rFonts w:ascii="Times New Roman" w:eastAsia="Times New Roman" w:hAnsi="Times New Roman"/>
          <w:sz w:val="24"/>
          <w:szCs w:val="24"/>
          <w:lang w:val="uk-UA" w:eastAsia="ru-RU"/>
        </w:rPr>
        <w:t>;</w:t>
      </w:r>
    </w:p>
    <w:p w:rsidR="00FE06C5" w:rsidRDefault="00FE06C5" w:rsidP="00FE06C5">
      <w:pPr>
        <w:suppressAutoHyphens/>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компенсацій постраждалим внаслідок аварії на ЧАЕС – </w:t>
      </w:r>
      <w:r>
        <w:rPr>
          <w:rFonts w:ascii="Times New Roman" w:eastAsia="Times New Roman" w:hAnsi="Times New Roman"/>
          <w:sz w:val="24"/>
          <w:szCs w:val="24"/>
          <w:lang w:eastAsia="ru-RU"/>
        </w:rPr>
        <w:t>203</w:t>
      </w:r>
      <w:r>
        <w:rPr>
          <w:rFonts w:ascii="Times New Roman" w:eastAsia="Times New Roman" w:hAnsi="Times New Roman"/>
          <w:sz w:val="24"/>
          <w:szCs w:val="24"/>
          <w:lang w:val="uk-UA" w:eastAsia="ru-RU"/>
        </w:rPr>
        <w:t>;</w:t>
      </w:r>
    </w:p>
    <w:p w:rsidR="00FE06C5" w:rsidRDefault="00FE06C5" w:rsidP="00FE06C5">
      <w:pPr>
        <w:suppressAutoHyphens/>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допомога переміщеним особам – 124.</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Призначено допомог згідно Законів України «Про державну допомогу сім’ям з дітьми» та «Державну соціальну допомогу малозабезпеченим сім’ям» 1701 сім'ям  на суму 12476.2 тис. грн., у тому числі державну соціальну допомогу дітям з інвалідністю та особам з інвалідністю з дитинства І-ІІІ групи отримали  430 особи на суму 2582.6тис. грн., тимчасову допомогу сім’ям з дітьми (замість аліментів) – 4 особи на суму 13,5тис. грн. Допомогу по догляду за психічно-хворими особами з інвалідністю І та ІІ групи отримує 5</w:t>
      </w:r>
      <w:r>
        <w:rPr>
          <w:rFonts w:ascii="Times New Roman" w:eastAsia="Times New Roman" w:hAnsi="Times New Roman"/>
          <w:sz w:val="24"/>
          <w:szCs w:val="24"/>
          <w:lang w:eastAsia="ru-RU"/>
        </w:rPr>
        <w:t>3</w:t>
      </w:r>
      <w:r>
        <w:rPr>
          <w:rFonts w:ascii="Times New Roman" w:eastAsia="Times New Roman" w:hAnsi="Times New Roman"/>
          <w:sz w:val="24"/>
          <w:szCs w:val="24"/>
          <w:lang w:val="uk-UA" w:eastAsia="ru-RU"/>
        </w:rPr>
        <w:t xml:space="preserve"> особи.</w:t>
      </w:r>
    </w:p>
    <w:p w:rsidR="00FE06C5" w:rsidRDefault="00FE06C5" w:rsidP="00FE06C5">
      <w:pPr>
        <w:spacing w:after="0" w:line="240" w:lineRule="auto"/>
        <w:ind w:left="-142" w:firstLine="709"/>
        <w:jc w:val="both"/>
        <w:rPr>
          <w:rFonts w:ascii="Times New Roman" w:hAnsi="Times New Roman" w:cs="Calibri"/>
          <w:sz w:val="24"/>
          <w:szCs w:val="24"/>
          <w:lang w:val="uk-UA"/>
        </w:rPr>
      </w:pPr>
      <w:r>
        <w:rPr>
          <w:rFonts w:ascii="Times New Roman" w:hAnsi="Times New Roman" w:cs="Calibri"/>
          <w:sz w:val="24"/>
          <w:szCs w:val="24"/>
          <w:lang w:val="uk-UA"/>
        </w:rPr>
        <w:t>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10286,4тис. грн.</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 xml:space="preserve">Станом на 25.03.2020 р.  на обліку в УСЗН перебуває 270 внутрішньо переміщених осіб з тимчасово окупованої території України та районів проведення АТО. Довідки про взяття на облік видано 522 особам. </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Відповідно до постанови Кабінету Міністрів Україна від 01.10.2014 р.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25.03.2020 р. таку допомогу отримують 85 сімей (124 особи), з початку року  виплачено </w:t>
      </w:r>
      <w:r>
        <w:rPr>
          <w:rFonts w:ascii="Times New Roman" w:eastAsia="Times New Roman" w:hAnsi="Times New Roman"/>
          <w:sz w:val="24"/>
          <w:szCs w:val="24"/>
          <w:lang w:eastAsia="ru-RU"/>
        </w:rPr>
        <w:t>339,5</w:t>
      </w:r>
      <w:r>
        <w:rPr>
          <w:rFonts w:ascii="Times New Roman" w:eastAsia="Times New Roman" w:hAnsi="Times New Roman"/>
          <w:sz w:val="24"/>
          <w:szCs w:val="24"/>
          <w:lang w:val="uk-UA" w:eastAsia="ru-RU"/>
        </w:rPr>
        <w:t>тис. грн.</w:t>
      </w:r>
    </w:p>
    <w:p w:rsidR="00FE06C5" w:rsidRDefault="00FE06C5" w:rsidP="00FE06C5">
      <w:pPr>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в управлінні перебуває 2 прийомні сім’ї, що отримують допомогу за принципом «гроші ходять за дитиною», 4 дитячих будинків сімейного типу, 1 патронатна сім’я. За звітний період цим сім’ям виплачено 894407,05тис. грн. </w:t>
      </w:r>
    </w:p>
    <w:p w:rsidR="00FE06C5" w:rsidRDefault="00FE06C5" w:rsidP="00FE06C5">
      <w:pPr>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В управлінні постійно проводиться робота по поліпшенню виконавської дисципліни. Прийом громадян спеціалістами управління проводиться щоденно, що дає можливість забезпечити в повному обсязі всі потреби громадян, які звертаються за роз’ясненнями та допомогою до працівників управління. </w:t>
      </w:r>
    </w:p>
    <w:p w:rsidR="00FE06C5" w:rsidRDefault="00FE06C5" w:rsidP="00FE06C5">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січня - березня було проведено 3 засідання міської постійно діючої комісії виконавчого комітету Знам’янської міської ради з питань розгляду звернень громадян, згідно графіку, а саме:</w:t>
      </w:r>
    </w:p>
    <w:p w:rsidR="00FE06C5" w:rsidRDefault="00FE06C5" w:rsidP="00FE06C5">
      <w:pPr>
        <w:tabs>
          <w:tab w:val="num" w:pos="709"/>
        </w:tabs>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ab/>
        <w:t>- Про стан розгляду звернень громадян у виконавчому комітеті по підсумках 2019 року. Відбулося 31.01.2020 р.</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Проведено розширене засідання міської постійно діючої комісії з питань розгляду звернень громадян. Цей напрямок роботи є одним із пріоритетних в діяльності виконавчого комітету Знам’янської міської ради. На засіданні заслухано інформацію начальників структурних підрозділів виконавчого комітету, про стан розгляду звернень громадян по підсумках 2019 року. </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 результатами засідання надані відповідні протокольні доручення. Начальникам структурних підрозділів виконавчого комітету рекомендовано здійснювати контроль за дотриманням термінів при розгляді звернень громадян, надання якісних та вичерпних відповідей, звертати увагу на недопущення неоднозначних, необґрунтованих або неповних відповідей заявникам.</w:t>
      </w:r>
      <w:r>
        <w:rPr>
          <w:rFonts w:ascii="Times New Roman" w:eastAsia="Times New Roman" w:hAnsi="Times New Roman"/>
          <w:sz w:val="24"/>
          <w:szCs w:val="24"/>
          <w:lang w:val="uk-UA"/>
        </w:rPr>
        <w:t xml:space="preserve"> Вживати всі можливі заходи щодо забезпечення реалізації конституційних прав громадян на письмові звернення та особистий прийом, неухильного виконання норм Закону України «Про звернення громадян».</w:t>
      </w:r>
    </w:p>
    <w:p w:rsidR="00FE06C5" w:rsidRDefault="00FE06C5" w:rsidP="00FE06C5">
      <w:pPr>
        <w:tabs>
          <w:tab w:val="num" w:pos="1418"/>
        </w:tabs>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Про стан виконання звернень громадян, які залишились на контролі у підрозділах виконавчого комітету Знам’янської міської ради з попередніх років</w:t>
      </w:r>
      <w:r>
        <w:rPr>
          <w:rFonts w:ascii="Times New Roman" w:hAnsi="Times New Roman"/>
          <w:sz w:val="24"/>
          <w:szCs w:val="20"/>
          <w:lang w:val="uk-UA" w:eastAsia="ru-RU"/>
        </w:rPr>
        <w:t>. Відбулося</w:t>
      </w:r>
      <w:r>
        <w:rPr>
          <w:rFonts w:ascii="Times New Roman" w:hAnsi="Times New Roman"/>
          <w:sz w:val="24"/>
          <w:szCs w:val="24"/>
          <w:lang w:val="uk-UA" w:eastAsia="ru-RU"/>
        </w:rPr>
        <w:t xml:space="preserve"> 28.02.2020р.</w:t>
      </w:r>
    </w:p>
    <w:p w:rsidR="00FE06C5" w:rsidRDefault="00FE06C5" w:rsidP="00FE06C5">
      <w:pPr>
        <w:tabs>
          <w:tab w:val="num" w:pos="1418"/>
        </w:tabs>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0"/>
          <w:szCs w:val="24"/>
          <w:lang w:val="uk-UA" w:eastAsia="ru-RU"/>
        </w:rPr>
        <w:t xml:space="preserve">- </w:t>
      </w:r>
      <w:r>
        <w:rPr>
          <w:rFonts w:ascii="Times New Roman" w:hAnsi="Times New Roman"/>
          <w:sz w:val="24"/>
          <w:szCs w:val="24"/>
          <w:lang w:val="uk-UA" w:eastAsia="ru-RU"/>
        </w:rPr>
        <w:t>Про стан розгляду звернень громадян у відділі молоді, спорту та охорони здоров’я. Відбулося 31.03.2020 р.</w:t>
      </w:r>
    </w:p>
    <w:p w:rsidR="00FE06C5" w:rsidRDefault="00FE06C5" w:rsidP="00FE06C5">
      <w:pPr>
        <w:tabs>
          <w:tab w:val="num" w:pos="1418"/>
        </w:tabs>
        <w:overflowPunct w:val="0"/>
        <w:autoSpaceDE w:val="0"/>
        <w:autoSpaceDN w:val="0"/>
        <w:adjustRightInd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По результатах засідань складені протоколи та надані відповідні протокольні доручення. Начальникам структурних підрозділів виконавчого комітету Знам’янської міської ради рекомендовано здійснювати контроль за дотриманням термінів при розгляді звернень громадян, звертати увагу на недопущення надання неоднозначних, необґрунтованих або неповних відповідей заявникам.</w:t>
      </w:r>
    </w:p>
    <w:p w:rsidR="00FE06C5" w:rsidRDefault="00FE06C5" w:rsidP="00FE06C5">
      <w:pPr>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 xml:space="preserve">Всі звернення, що надходять до виконавчого комітету Знам’янської міської ради,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Особлива увага приділяється вирішенню питань, які порушують </w:t>
      </w:r>
      <w:r>
        <w:rPr>
          <w:rFonts w:ascii="Times New Roman" w:hAnsi="Times New Roman"/>
          <w:lang w:val="uk-UA"/>
        </w:rPr>
        <w:t>члени сімей військовослужбовців, які загинули в зоні проведення антитерористичної операції на сході України, військовослужбовців, які брали або беруть участь у проведенні антитерористичної операції на сході України, операції об’єднаних сил, членів їх сімей, ветеранів війни та праці, громадян, які постраждали внаслідок Чорнобильської катастрофи, багатодітних сімей, одиноких матерів та інших громадян, які потребують соціального захисту та підтримки.</w:t>
      </w:r>
    </w:p>
    <w:p w:rsidR="00FE06C5" w:rsidRDefault="00FE06C5" w:rsidP="00FE06C5">
      <w:pPr>
        <w:spacing w:after="0" w:line="240" w:lineRule="auto"/>
        <w:ind w:left="-142" w:firstLine="709"/>
        <w:jc w:val="both"/>
        <w:rPr>
          <w:rFonts w:ascii="Times New Roman" w:hAnsi="Times New Roman"/>
          <w:sz w:val="24"/>
          <w:szCs w:val="24"/>
          <w:lang w:val="uk-UA" w:eastAsia="ru-RU"/>
        </w:rPr>
      </w:pPr>
      <w:r>
        <w:rPr>
          <w:rFonts w:ascii="Times New Roman" w:eastAsia="Times New Roman" w:hAnsi="Times New Roman"/>
          <w:sz w:val="24"/>
          <w:szCs w:val="24"/>
          <w:lang w:val="uk-UA" w:eastAsia="ru-RU"/>
        </w:rPr>
        <w:t xml:space="preserve">Відділом загальним, контролю та роботи із зверненнями громадян проводиться аналітична робота та узагальнення надходжень звернень громадян. Встановлений постійний контроль за повним, кваліфікованим і об’єктивним розглядом звернень </w:t>
      </w:r>
      <w:r>
        <w:rPr>
          <w:rFonts w:ascii="Times New Roman" w:eastAsia="Times New Roman" w:hAnsi="Times New Roman"/>
          <w:sz w:val="24"/>
          <w:szCs w:val="24"/>
          <w:lang w:val="uk-UA" w:eastAsia="ru-RU"/>
        </w:rPr>
        <w:lastRenderedPageBreak/>
        <w:t xml:space="preserve">громадян, додержанням встановлених законодавством термінів їх розгляду та своєчасним наданням відповідей авторам звернень. У відділі загальному, контролю та роботи із зверненнями громадян кожен заявник має можливість перевірити хід виконання поданого ним звернення та ознайомитися з матеріалами. </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4"/>
          <w:szCs w:val="24"/>
          <w:lang w:val="uk-UA" w:eastAsia="uk-UA" w:bidi="uk-UA"/>
        </w:rPr>
      </w:pPr>
      <w:r>
        <w:rPr>
          <w:rFonts w:ascii="Times New Roman" w:eastAsia="Times New Roman" w:hAnsi="Times New Roman"/>
          <w:sz w:val="24"/>
          <w:szCs w:val="24"/>
          <w:lang w:val="uk-UA" w:eastAsia="ru-RU"/>
        </w:rPr>
        <w:t>Не рідше, ніж один раз у квартал на сайті міської ради публікуються довідки з питань звернень громадян, постійно висвітлюються матеріали сесії міської ради, діяльність виконавчого комітету,</w:t>
      </w:r>
      <w:r>
        <w:rPr>
          <w:rFonts w:ascii="Times New Roman" w:eastAsia="Times New Roman" w:hAnsi="Times New Roman"/>
          <w:sz w:val="24"/>
          <w:szCs w:val="24"/>
          <w:lang w:val="uk-UA" w:eastAsia="uk-UA" w:bidi="uk-UA"/>
        </w:rPr>
        <w:t xml:space="preserve"> роз’яснення з питань реалізації громадянами права на звернення та особистий прийом.</w:t>
      </w:r>
    </w:p>
    <w:p w:rsidR="00FE06C5" w:rsidRDefault="00FE06C5" w:rsidP="00FE06C5">
      <w:pPr>
        <w:overflowPunct w:val="0"/>
        <w:autoSpaceDE w:val="0"/>
        <w:autoSpaceDN w:val="0"/>
        <w:adjustRightInd w:val="0"/>
        <w:spacing w:after="0" w:line="240" w:lineRule="auto"/>
        <w:ind w:left="-142" w:firstLine="70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Інформаційна робота через засоби масової інформації по ознайомленню мешканців міста з основними шляхами вирішення проблем життєдіяльності міста, відкрите та доступне спілкування міського голови із мешканцями міста, широка просвітницька робота сприяють більш глибокому роз`ясненню питань, з якими звертаються громадяни до посадових осіб міської влади.</w:t>
      </w:r>
    </w:p>
    <w:p w:rsidR="00FE06C5" w:rsidRDefault="00FE06C5" w:rsidP="00FE06C5">
      <w:pPr>
        <w:framePr w:wrap="none" w:vAnchor="page" w:hAnchor="page" w:x="6473" w:y="13542"/>
        <w:widowControl w:val="0"/>
        <w:spacing w:after="0" w:line="240" w:lineRule="auto"/>
        <w:ind w:left="-142" w:firstLine="709"/>
        <w:rPr>
          <w:rFonts w:ascii="Arial Unicode MS" w:eastAsia="Arial Unicode MS" w:hAnsi="Arial Unicode MS" w:cs="Arial Unicode MS"/>
          <w:color w:val="000000"/>
          <w:sz w:val="2"/>
          <w:szCs w:val="2"/>
          <w:lang w:val="uk-UA" w:eastAsia="uk-UA" w:bidi="uk-UA"/>
        </w:rPr>
      </w:pPr>
    </w:p>
    <w:p w:rsidR="00FE06C5" w:rsidRDefault="00FE06C5" w:rsidP="00FE06C5">
      <w:pPr>
        <w:framePr w:wrap="none" w:vAnchor="page" w:hAnchor="page" w:x="6473" w:y="14982"/>
        <w:ind w:left="-142" w:firstLine="709"/>
        <w:rPr>
          <w:sz w:val="2"/>
          <w:szCs w:val="2"/>
          <w:lang w:val="uk-UA"/>
        </w:rPr>
      </w:pPr>
    </w:p>
    <w:p w:rsidR="00FE06C5" w:rsidRDefault="00FE06C5" w:rsidP="00FE06C5">
      <w:pPr>
        <w:framePr w:wrap="none" w:vAnchor="page" w:hAnchor="page" w:x="6473" w:y="13542"/>
        <w:widowControl w:val="0"/>
        <w:spacing w:after="0" w:line="240" w:lineRule="auto"/>
        <w:ind w:left="-142" w:firstLine="709"/>
        <w:rPr>
          <w:rFonts w:ascii="Arial Unicode MS" w:eastAsia="Arial Unicode MS" w:hAnsi="Arial Unicode MS" w:cs="Arial Unicode MS"/>
          <w:color w:val="000000"/>
          <w:sz w:val="2"/>
          <w:szCs w:val="2"/>
          <w:lang w:val="uk-UA" w:eastAsia="uk-UA" w:bidi="uk-UA"/>
        </w:rPr>
      </w:pPr>
    </w:p>
    <w:p w:rsidR="00FE06C5" w:rsidRDefault="00FE06C5" w:rsidP="00FE06C5">
      <w:pPr>
        <w:framePr w:wrap="none" w:vAnchor="page" w:hAnchor="page" w:x="6473" w:y="14982"/>
        <w:ind w:left="-142" w:firstLine="709"/>
        <w:rPr>
          <w:sz w:val="2"/>
          <w:szCs w:val="2"/>
          <w:lang w:val="uk-UA"/>
        </w:rPr>
      </w:pPr>
    </w:p>
    <w:p w:rsidR="00FE06C5" w:rsidRDefault="00FE06C5" w:rsidP="00FE06C5">
      <w:pPr>
        <w:spacing w:after="0" w:line="240" w:lineRule="auto"/>
        <w:rPr>
          <w:rFonts w:ascii="Times New Roman" w:hAnsi="Times New Roman"/>
          <w:b/>
          <w:sz w:val="24"/>
          <w:szCs w:val="24"/>
          <w:lang w:val="uk-UA" w:eastAsia="ru-RU"/>
        </w:rPr>
      </w:pPr>
    </w:p>
    <w:p w:rsidR="00FE06C5" w:rsidRDefault="00FE06C5" w:rsidP="00FE06C5">
      <w:pPr>
        <w:spacing w:after="0" w:line="240" w:lineRule="auto"/>
        <w:ind w:left="-142"/>
        <w:rPr>
          <w:rFonts w:ascii="Times New Roman" w:hAnsi="Times New Roman"/>
          <w:sz w:val="24"/>
          <w:szCs w:val="24"/>
          <w:lang w:val="uk-UA" w:eastAsia="ru-RU"/>
        </w:rPr>
      </w:pPr>
    </w:p>
    <w:p w:rsidR="00FE06C5" w:rsidRDefault="00FE06C5" w:rsidP="00FE06C5">
      <w:pPr>
        <w:framePr w:wrap="none" w:vAnchor="page" w:hAnchor="page" w:x="6473" w:y="13542"/>
        <w:widowControl w:val="0"/>
        <w:spacing w:after="0" w:line="240" w:lineRule="auto"/>
        <w:ind w:left="-142"/>
        <w:rPr>
          <w:rFonts w:ascii="Arial Unicode MS" w:eastAsia="Arial Unicode MS" w:hAnsi="Arial Unicode MS" w:cs="Arial Unicode MS"/>
          <w:color w:val="000000"/>
          <w:sz w:val="2"/>
          <w:szCs w:val="2"/>
          <w:lang w:val="uk-UA" w:eastAsia="uk-UA" w:bidi="uk-UA"/>
        </w:rPr>
      </w:pPr>
    </w:p>
    <w:p w:rsidR="00FE06C5" w:rsidRPr="003F6DE1" w:rsidRDefault="00FE06C5" w:rsidP="00FE06C5">
      <w:pPr>
        <w:ind w:left="-142"/>
        <w:rPr>
          <w:lang w:val="uk-UA"/>
        </w:rPr>
      </w:pPr>
    </w:p>
    <w:p w:rsidR="00433FEC" w:rsidRPr="00433FEC" w:rsidRDefault="00433FEC" w:rsidP="00433FEC">
      <w:pPr>
        <w:spacing w:after="0" w:line="240" w:lineRule="auto"/>
        <w:rPr>
          <w:rFonts w:ascii="Times New Roman" w:hAnsi="Times New Roman"/>
          <w:b/>
          <w:sz w:val="24"/>
          <w:szCs w:val="24"/>
          <w:lang w:val="uk-UA" w:eastAsia="ru-RU"/>
        </w:rPr>
      </w:pPr>
      <w:r w:rsidRPr="00433FEC">
        <w:rPr>
          <w:rFonts w:ascii="Times New Roman" w:hAnsi="Times New Roman"/>
          <w:b/>
          <w:sz w:val="24"/>
          <w:szCs w:val="24"/>
          <w:lang w:val="uk-UA" w:eastAsia="ru-RU"/>
        </w:rPr>
        <w:t>Начальник відділу загального, контролю</w:t>
      </w:r>
    </w:p>
    <w:p w:rsidR="00433FEC" w:rsidRPr="00433FEC" w:rsidRDefault="00433FEC" w:rsidP="00433FEC">
      <w:pPr>
        <w:spacing w:after="0" w:line="240" w:lineRule="auto"/>
        <w:rPr>
          <w:rFonts w:ascii="Times New Roman" w:hAnsi="Times New Roman"/>
          <w:b/>
          <w:sz w:val="24"/>
          <w:szCs w:val="24"/>
          <w:lang w:val="uk-UA" w:eastAsia="ru-RU"/>
        </w:rPr>
      </w:pPr>
      <w:r w:rsidRPr="00433FEC">
        <w:rPr>
          <w:rFonts w:ascii="Times New Roman" w:hAnsi="Times New Roman"/>
          <w:b/>
          <w:sz w:val="24"/>
          <w:szCs w:val="24"/>
          <w:lang w:val="uk-UA" w:eastAsia="ru-RU"/>
        </w:rPr>
        <w:t xml:space="preserve">та роботи із зверненнями громадян                                            </w:t>
      </w:r>
      <w:bookmarkStart w:id="0" w:name="_GoBack"/>
      <w:bookmarkEnd w:id="0"/>
      <w:r w:rsidRPr="00433FEC">
        <w:rPr>
          <w:rFonts w:ascii="Times New Roman" w:hAnsi="Times New Roman"/>
          <w:b/>
          <w:sz w:val="24"/>
          <w:szCs w:val="24"/>
          <w:lang w:val="uk-UA" w:eastAsia="ru-RU"/>
        </w:rPr>
        <w:t xml:space="preserve">         </w:t>
      </w:r>
      <w:r>
        <w:rPr>
          <w:rFonts w:ascii="Times New Roman" w:hAnsi="Times New Roman"/>
          <w:b/>
          <w:sz w:val="24"/>
          <w:szCs w:val="24"/>
          <w:lang w:val="uk-UA" w:eastAsia="ru-RU"/>
        </w:rPr>
        <w:t>Олена ГРИГОР’ЄВА</w:t>
      </w:r>
    </w:p>
    <w:p w:rsidR="00C80215" w:rsidRPr="003F6DE1" w:rsidRDefault="00C80215">
      <w:pPr>
        <w:rPr>
          <w:lang w:val="uk-UA"/>
        </w:rPr>
      </w:pPr>
    </w:p>
    <w:sectPr w:rsidR="00C80215" w:rsidRPr="003F6DE1" w:rsidSect="001A5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97861"/>
    <w:multiLevelType w:val="hybridMultilevel"/>
    <w:tmpl w:val="9182D076"/>
    <w:lvl w:ilvl="0" w:tplc="F67EEF5C">
      <w:numFmt w:val="bullet"/>
      <w:lvlText w:val="-"/>
      <w:lvlJc w:val="left"/>
      <w:pPr>
        <w:tabs>
          <w:tab w:val="num" w:pos="1068"/>
        </w:tabs>
        <w:ind w:left="1068" w:hanging="360"/>
      </w:pPr>
      <w:rPr>
        <w:rFonts w:ascii="Times New Roman" w:eastAsia="Times New Roman" w:hAnsi="Times New Roman" w:cs="Times New Roman" w:hint="default"/>
      </w:rPr>
    </w:lvl>
    <w:lvl w:ilvl="1" w:tplc="AD3EC198">
      <w:numFmt w:val="bullet"/>
      <w:lvlText w:val="-"/>
      <w:lvlJc w:val="left"/>
      <w:pPr>
        <w:tabs>
          <w:tab w:val="num" w:pos="1788"/>
        </w:tabs>
        <w:ind w:left="1788" w:hanging="360"/>
      </w:pPr>
      <w:rPr>
        <w:rFonts w:ascii="Times New Roman" w:eastAsia="Times New Roman" w:hAnsi="Times New Roman"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E06C5"/>
    <w:rsid w:val="001A5C4C"/>
    <w:rsid w:val="003F6DE1"/>
    <w:rsid w:val="00410228"/>
    <w:rsid w:val="00433FEC"/>
    <w:rsid w:val="004B6941"/>
    <w:rsid w:val="00954AB4"/>
    <w:rsid w:val="00A57922"/>
    <w:rsid w:val="00C80215"/>
    <w:rsid w:val="00C95372"/>
    <w:rsid w:val="00E64317"/>
    <w:rsid w:val="00FE06C5"/>
    <w:rsid w:val="00FE7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6C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69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694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6C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439853">
      <w:bodyDiv w:val="1"/>
      <w:marLeft w:val="0"/>
      <w:marRight w:val="0"/>
      <w:marTop w:val="0"/>
      <w:marBottom w:val="0"/>
      <w:divBdr>
        <w:top w:val="none" w:sz="0" w:space="0" w:color="auto"/>
        <w:left w:val="none" w:sz="0" w:space="0" w:color="auto"/>
        <w:bottom w:val="none" w:sz="0" w:space="0" w:color="auto"/>
        <w:right w:val="none" w:sz="0" w:space="0" w:color="auto"/>
      </w:divBdr>
    </w:div>
    <w:div w:id="209223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2000"/>
          </a:pPr>
          <a:endParaRPr lang="ru-RU"/>
        </a:p>
      </c:txPr>
    </c:title>
    <c:autoTitleDeleted val="0"/>
    <c:view3D>
      <c:rotX val="75"/>
      <c:rotY val="0"/>
      <c:rAngAx val="0"/>
      <c:perspective val="30"/>
    </c:view3D>
    <c:floor>
      <c:thickness val="0"/>
    </c:floor>
    <c:sideWall>
      <c:thickness val="0"/>
    </c:sideWall>
    <c:backWall>
      <c:thickness val="0"/>
    </c:backWall>
    <c:plotArea>
      <c:layout>
        <c:manualLayout>
          <c:layoutTarget val="inner"/>
          <c:xMode val="edge"/>
          <c:yMode val="edge"/>
          <c:x val="2.7635608048993877E-2"/>
          <c:y val="0.22208567679040123"/>
          <c:w val="0.65541848935549718"/>
          <c:h val="0.68610642419697543"/>
        </c:manualLayout>
      </c:layout>
      <c:pie3DChart>
        <c:varyColors val="1"/>
        <c:ser>
          <c:idx val="0"/>
          <c:order val="0"/>
          <c:tx>
            <c:strRef>
              <c:f>Лист1!$B$1</c:f>
              <c:strCache>
                <c:ptCount val="1"/>
                <c:pt idx="0">
                  <c:v>Надійшло звернень за січень-березень 2020 року</c:v>
                </c:pt>
              </c:strCache>
            </c:strRef>
          </c:tx>
          <c:explosion val="25"/>
          <c:dLbls>
            <c:dLbl>
              <c:idx val="3"/>
              <c:layout>
                <c:manualLayout>
                  <c:x val="4.7984652960046698E-2"/>
                  <c:y val="0.10442507186601681"/>
                </c:manualLayout>
              </c:layout>
              <c:showLegendKey val="0"/>
              <c:showVal val="1"/>
              <c:showCatName val="0"/>
              <c:showSerName val="0"/>
              <c:showPercent val="0"/>
              <c:showBubbleSize val="0"/>
            </c:dLbl>
            <c:txPr>
              <a:bodyPr/>
              <a:lstStyle/>
              <a:p>
                <a:pPr>
                  <a:defRPr sz="1600" b="1"/>
                </a:pPr>
                <a:endParaRPr lang="ru-RU"/>
              </a:p>
            </c:txPr>
            <c:showLegendKey val="0"/>
            <c:showVal val="1"/>
            <c:showCatName val="0"/>
            <c:showSerName val="0"/>
            <c:showPercent val="0"/>
            <c:showBubbleSize val="0"/>
            <c:showLeaderLines val="1"/>
          </c:dLbls>
          <c:cat>
            <c:strRef>
              <c:f>Лист1!$A$2:$A$5</c:f>
              <c:strCache>
                <c:ptCount val="4"/>
                <c:pt idx="0">
                  <c:v>Поштою</c:v>
                </c:pt>
                <c:pt idx="1">
                  <c:v>Особисті прийоми</c:v>
                </c:pt>
                <c:pt idx="2">
                  <c:v>Кіровоградська ОДА</c:v>
                </c:pt>
                <c:pt idx="3">
                  <c:v>Обласний контактний центр</c:v>
                </c:pt>
              </c:strCache>
            </c:strRef>
          </c:cat>
          <c:val>
            <c:numRef>
              <c:f>Лист1!$B$2:$B$5</c:f>
              <c:numCache>
                <c:formatCode>General</c:formatCode>
                <c:ptCount val="4"/>
                <c:pt idx="0">
                  <c:v>302</c:v>
                </c:pt>
                <c:pt idx="1">
                  <c:v>41</c:v>
                </c:pt>
                <c:pt idx="2">
                  <c:v>6</c:v>
                </c:pt>
                <c:pt idx="3">
                  <c:v>96</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100" b="1"/>
          </a:pPr>
          <a:endParaRPr lang="ru-RU"/>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Порівняння кількості  звернень  за </a:t>
            </a:r>
            <a:br>
              <a:rPr lang="ru-RU"/>
            </a:br>
            <a:r>
              <a:rPr lang="ru-RU"/>
              <a:t>І квартал  2019 та 2020 рр.</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Pt>
            <c:idx val="1"/>
            <c:invertIfNegative val="0"/>
            <c:bubble3D val="0"/>
            <c:spPr>
              <a:solidFill>
                <a:srgbClr val="FF0000"/>
              </a:solidFill>
            </c:spPr>
          </c:dPt>
          <c:dLbls>
            <c:dLbl>
              <c:idx val="0"/>
              <c:layout>
                <c:manualLayout>
                  <c:x val="4.3434182068423123E-3"/>
                  <c:y val="0.1963913398638131"/>
                </c:manualLayout>
              </c:layout>
              <c:spPr/>
              <c:txPr>
                <a:bodyPr/>
                <a:lstStyle/>
                <a:p>
                  <a:pPr>
                    <a:defRPr sz="1600" b="1"/>
                  </a:pPr>
                  <a:endParaRPr lang="ru-RU"/>
                </a:p>
              </c:txPr>
              <c:showLegendKey val="0"/>
              <c:showVal val="1"/>
              <c:showCatName val="0"/>
              <c:showSerName val="0"/>
              <c:showPercent val="0"/>
              <c:showBubbleSize val="0"/>
            </c:dLbl>
            <c:dLbl>
              <c:idx val="1"/>
              <c:layout>
                <c:manualLayout>
                  <c:x val="4.6295386027002229E-3"/>
                  <c:y val="0.24401060554237161"/>
                </c:manualLayout>
              </c:layout>
              <c:spPr/>
              <c:txPr>
                <a:bodyPr/>
                <a:lstStyle/>
                <a:p>
                  <a:pPr>
                    <a:defRPr sz="1600" b="1"/>
                  </a:pPr>
                  <a:endParaRPr lang="ru-RU"/>
                </a:p>
              </c:txPr>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Лист1!$A$2:$A$3</c:f>
              <c:strCache>
                <c:ptCount val="2"/>
                <c:pt idx="0">
                  <c:v>2020 рік</c:v>
                </c:pt>
                <c:pt idx="1">
                  <c:v>2019 рік</c:v>
                </c:pt>
              </c:strCache>
            </c:strRef>
          </c:cat>
          <c:val>
            <c:numRef>
              <c:f>Лист1!$B$2:$B$3</c:f>
              <c:numCache>
                <c:formatCode>General</c:formatCode>
                <c:ptCount val="2"/>
                <c:pt idx="0">
                  <c:v>622</c:v>
                </c:pt>
                <c:pt idx="1">
                  <c:v>823</c:v>
                </c:pt>
              </c:numCache>
            </c:numRef>
          </c:val>
        </c:ser>
        <c:dLbls>
          <c:showLegendKey val="0"/>
          <c:showVal val="0"/>
          <c:showCatName val="0"/>
          <c:showSerName val="0"/>
          <c:showPercent val="0"/>
          <c:showBubbleSize val="0"/>
        </c:dLbls>
        <c:gapWidth val="150"/>
        <c:shape val="box"/>
        <c:axId val="142856704"/>
        <c:axId val="142742592"/>
        <c:axId val="0"/>
      </c:bar3DChart>
      <c:catAx>
        <c:axId val="142856704"/>
        <c:scaling>
          <c:orientation val="minMax"/>
        </c:scaling>
        <c:delete val="0"/>
        <c:axPos val="b"/>
        <c:majorTickMark val="out"/>
        <c:minorTickMark val="none"/>
        <c:tickLblPos val="nextTo"/>
        <c:txPr>
          <a:bodyPr/>
          <a:lstStyle/>
          <a:p>
            <a:pPr>
              <a:defRPr b="1"/>
            </a:pPr>
            <a:endParaRPr lang="ru-RU"/>
          </a:p>
        </c:txPr>
        <c:crossAx val="142742592"/>
        <c:crosses val="autoZero"/>
        <c:auto val="1"/>
        <c:lblAlgn val="ctr"/>
        <c:lblOffset val="100"/>
        <c:noMultiLvlLbl val="0"/>
      </c:catAx>
      <c:valAx>
        <c:axId val="142742592"/>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142856704"/>
        <c:crosses val="autoZero"/>
        <c:crossBetween val="between"/>
      </c:valAx>
    </c:plotArea>
    <c:plotVisOnly val="1"/>
    <c:dispBlanksAs val="gap"/>
    <c:showDLblsOverMax val="0"/>
  </c:chart>
  <c:spPr>
    <a:solidFill>
      <a:schemeClr val="bg1"/>
    </a:solid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0.18922476153895398"/>
          <c:w val="0.82990784046731003"/>
          <c:h val="0.81077510880760162"/>
        </c:manualLayout>
      </c:layout>
      <c:pie3DChart>
        <c:varyColors val="1"/>
        <c:ser>
          <c:idx val="0"/>
          <c:order val="0"/>
          <c:tx>
            <c:strRef>
              <c:f>Лист1!$B$1</c:f>
              <c:strCache>
                <c:ptCount val="1"/>
                <c:pt idx="0">
                  <c:v>Соціальний стан авторів звернень</c:v>
                </c:pt>
              </c:strCache>
            </c:strRef>
          </c:tx>
          <c:explosion val="25"/>
          <c:dLbls>
            <c:txPr>
              <a:bodyPr/>
              <a:lstStyle/>
              <a:p>
                <a:pPr>
                  <a:defRPr sz="1800" b="1"/>
                </a:pPr>
                <a:endParaRPr lang="ru-RU"/>
              </a:p>
            </c:txPr>
            <c:showLegendKey val="0"/>
            <c:showVal val="1"/>
            <c:showCatName val="0"/>
            <c:showSerName val="0"/>
            <c:showPercent val="0"/>
            <c:showBubbleSize val="0"/>
            <c:showLeaderLines val="1"/>
          </c:dLbls>
          <c:cat>
            <c:strRef>
              <c:f>Лист1!$A$2:$A$6</c:f>
              <c:strCache>
                <c:ptCount val="5"/>
                <c:pt idx="0">
                  <c:v>Пенсіонери</c:v>
                </c:pt>
                <c:pt idx="1">
                  <c:v>Робітники</c:v>
                </c:pt>
                <c:pt idx="2">
                  <c:v>Підприємці</c:v>
                </c:pt>
                <c:pt idx="3">
                  <c:v>Безробітні</c:v>
                </c:pt>
                <c:pt idx="4">
                  <c:v>Інші</c:v>
                </c:pt>
              </c:strCache>
            </c:strRef>
          </c:cat>
          <c:val>
            <c:numRef>
              <c:f>Лист1!$B$2:$B$6</c:f>
              <c:numCache>
                <c:formatCode>General</c:formatCode>
                <c:ptCount val="5"/>
                <c:pt idx="0">
                  <c:v>120</c:v>
                </c:pt>
                <c:pt idx="1">
                  <c:v>26</c:v>
                </c:pt>
                <c:pt idx="2">
                  <c:v>2</c:v>
                </c:pt>
                <c:pt idx="3">
                  <c:v>8</c:v>
                </c:pt>
                <c:pt idx="4">
                  <c:v>289</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200" b="1"/>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title>
      <c:layout>
        <c:manualLayout>
          <c:xMode val="edge"/>
          <c:yMode val="edge"/>
          <c:x val="0.24167182662538694"/>
          <c:y val="2.4464831804281339E-2"/>
        </c:manualLayout>
      </c:layout>
      <c:overlay val="0"/>
    </c:title>
    <c:autoTitleDeleted val="0"/>
    <c:view3D>
      <c:rotX val="90"/>
      <c:rotY val="110"/>
      <c:rAngAx val="0"/>
      <c:perspective val="30"/>
    </c:view3D>
    <c:floor>
      <c:thickness val="0"/>
    </c:floor>
    <c:sideWall>
      <c:thickness val="0"/>
    </c:sideWall>
    <c:backWall>
      <c:thickness val="0"/>
    </c:backWall>
    <c:plotArea>
      <c:layout>
        <c:manualLayout>
          <c:layoutTarget val="inner"/>
          <c:xMode val="edge"/>
          <c:yMode val="edge"/>
          <c:x val="0"/>
          <c:y val="5.1977438990338971E-2"/>
          <c:w val="0.64964219945180413"/>
          <c:h val="0.94802256100966098"/>
        </c:manualLayout>
      </c:layout>
      <c:pie3DChart>
        <c:varyColors val="1"/>
        <c:ser>
          <c:idx val="0"/>
          <c:order val="0"/>
          <c:tx>
            <c:strRef>
              <c:f>Лист1!$B$1</c:f>
              <c:strCache>
                <c:ptCount val="1"/>
                <c:pt idx="0">
                  <c:v>За категорію авторів звернень</c:v>
                </c:pt>
              </c:strCache>
            </c:strRef>
          </c:tx>
          <c:explosion val="25"/>
          <c:dLbls>
            <c:dLbl>
              <c:idx val="0"/>
              <c:layout>
                <c:manualLayout>
                  <c:x val="0.10157588868599697"/>
                  <c:y val="0.14298039872675489"/>
                </c:manualLayout>
              </c:layout>
              <c:showLegendKey val="0"/>
              <c:showVal val="1"/>
              <c:showCatName val="1"/>
              <c:showSerName val="0"/>
              <c:showPercent val="0"/>
              <c:showBubbleSize val="0"/>
              <c:separator>
</c:separator>
            </c:dLbl>
            <c:dLbl>
              <c:idx val="1"/>
              <c:layout>
                <c:manualLayout>
                  <c:x val="2.6485382089424938E-2"/>
                  <c:y val="0.18144301111297259"/>
                </c:manualLayout>
              </c:layout>
              <c:showLegendKey val="0"/>
              <c:showVal val="1"/>
              <c:showCatName val="1"/>
              <c:showSerName val="0"/>
              <c:showPercent val="0"/>
              <c:showBubbleSize val="0"/>
              <c:separator>
</c:separator>
            </c:dLbl>
            <c:dLbl>
              <c:idx val="2"/>
              <c:layout>
                <c:manualLayout>
                  <c:x val="-7.1489084543900253E-2"/>
                  <c:y val="0.15397330652817334"/>
                </c:manualLayout>
              </c:layout>
              <c:showLegendKey val="0"/>
              <c:showVal val="1"/>
              <c:showCatName val="1"/>
              <c:showSerName val="0"/>
              <c:showPercent val="0"/>
              <c:showBubbleSize val="0"/>
              <c:separator>
</c:separator>
            </c:dLbl>
            <c:dLbl>
              <c:idx val="3"/>
              <c:layout>
                <c:manualLayout>
                  <c:x val="0.10437230796667403"/>
                  <c:y val="-4.070894063773943E-2"/>
                </c:manualLayout>
              </c:layout>
              <c:spPr/>
              <c:txPr>
                <a:bodyPr/>
                <a:lstStyle/>
                <a:p>
                  <a:pPr>
                    <a:defRPr b="1">
                      <a:solidFill>
                        <a:schemeClr val="bg1"/>
                      </a:solidFill>
                    </a:defRPr>
                  </a:pPr>
                  <a:endParaRPr lang="ru-RU"/>
                </a:p>
              </c:txPr>
              <c:showLegendKey val="0"/>
              <c:showVal val="1"/>
              <c:showCatName val="1"/>
              <c:showSerName val="0"/>
              <c:showPercent val="0"/>
              <c:showBubbleSize val="0"/>
              <c:separator>
</c:separator>
            </c:dLbl>
            <c:dLbl>
              <c:idx val="4"/>
              <c:layout>
                <c:manualLayout>
                  <c:x val="-5.1344320512373177E-2"/>
                  <c:y val="-4.2330373596917409E-2"/>
                </c:manualLayout>
              </c:layout>
              <c:showLegendKey val="0"/>
              <c:showVal val="1"/>
              <c:showCatName val="1"/>
              <c:showSerName val="0"/>
              <c:showPercent val="0"/>
              <c:showBubbleSize val="0"/>
              <c:separator>
</c:separator>
            </c:dLbl>
            <c:dLbl>
              <c:idx val="6"/>
              <c:layout>
                <c:manualLayout>
                  <c:x val="0.2091228478271826"/>
                  <c:y val="-7.3827553470709781E-2"/>
                </c:manualLayout>
              </c:layout>
              <c:showLegendKey val="0"/>
              <c:showVal val="1"/>
              <c:showCatName val="1"/>
              <c:showSerName val="0"/>
              <c:showPercent val="0"/>
              <c:showBubbleSize val="0"/>
              <c:separator>
</c:separator>
            </c:dLbl>
            <c:dLbl>
              <c:idx val="7"/>
              <c:layout>
                <c:manualLayout>
                  <c:x val="9.0388738335329941E-2"/>
                  <c:y val="-6.8426313732060082E-2"/>
                </c:manualLayout>
              </c:layout>
              <c:showLegendKey val="0"/>
              <c:showVal val="1"/>
              <c:showCatName val="1"/>
              <c:showSerName val="0"/>
              <c:showPercent val="0"/>
              <c:showBubbleSize val="0"/>
              <c:separator>
</c:separator>
            </c:dLbl>
            <c:dLbl>
              <c:idx val="8"/>
              <c:layout>
                <c:manualLayout>
                  <c:x val="4.5795523713154762E-2"/>
                  <c:y val="-5.214832188529625E-2"/>
                </c:manualLayout>
              </c:layout>
              <c:showLegendKey val="0"/>
              <c:showVal val="1"/>
              <c:showCatName val="1"/>
              <c:showSerName val="0"/>
              <c:showPercent val="0"/>
              <c:showBubbleSize val="0"/>
              <c:separator>
</c:separator>
            </c:dLbl>
            <c:dLbl>
              <c:idx val="9"/>
              <c:layout>
                <c:manualLayout>
                  <c:x val="0.21103726879044107"/>
                  <c:y val="-7.2491483777293725E-2"/>
                </c:manualLayout>
              </c:layout>
              <c:showLegendKey val="0"/>
              <c:showVal val="1"/>
              <c:showCatName val="1"/>
              <c:showSerName val="0"/>
              <c:showPercent val="0"/>
              <c:showBubbleSize val="0"/>
              <c:separator>
</c:separator>
            </c:dLbl>
            <c:dLbl>
              <c:idx val="11"/>
              <c:layout>
                <c:manualLayout>
                  <c:x val="0.27966309602732448"/>
                  <c:y val="0.11535042162282906"/>
                </c:manualLayout>
              </c:layout>
              <c:showLegendKey val="0"/>
              <c:showVal val="1"/>
              <c:showCatName val="1"/>
              <c:showSerName val="0"/>
              <c:showPercent val="0"/>
              <c:showBubbleSize val="0"/>
              <c:separator>
</c:separator>
            </c:dLbl>
            <c:txPr>
              <a:bodyPr/>
              <a:lstStyle/>
              <a:p>
                <a:pPr>
                  <a:defRPr b="1"/>
                </a:pPr>
                <a:endParaRPr lang="ru-RU"/>
              </a:p>
            </c:txPr>
            <c:showLegendKey val="0"/>
            <c:showVal val="1"/>
            <c:showCatName val="1"/>
            <c:showSerName val="0"/>
            <c:showPercent val="0"/>
            <c:showBubbleSize val="0"/>
            <c:separator>
</c:separator>
            <c:showLeaderLines val="1"/>
          </c:dLbls>
          <c:cat>
            <c:strRef>
              <c:f>Лист1!$A$2:$A$13</c:f>
              <c:strCache>
                <c:ptCount val="12"/>
                <c:pt idx="0">
                  <c:v>багатодіні сім’ї</c:v>
                </c:pt>
                <c:pt idx="1">
                  <c:v>Ветерани праці</c:v>
                </c:pt>
                <c:pt idx="2">
                  <c:v>Діти війни</c:v>
                </c:pt>
                <c:pt idx="3">
                  <c:v>інші категорії</c:v>
                </c:pt>
                <c:pt idx="4">
                  <c:v>Матері-героїні</c:v>
                </c:pt>
                <c:pt idx="5">
                  <c:v>Одинокі матері</c:v>
                </c:pt>
                <c:pt idx="6">
                  <c:v>Особи з інваліднистю І групи</c:v>
                </c:pt>
                <c:pt idx="7">
                  <c:v>Особи з інваліднистю ІІ групи</c:v>
                </c:pt>
                <c:pt idx="8">
                  <c:v>Особи з інвалідністю ІІІ групи</c:v>
                </c:pt>
                <c:pt idx="9">
                  <c:v>Учасники бойових дій</c:v>
                </c:pt>
                <c:pt idx="10">
                  <c:v>Учасники війни</c:v>
                </c:pt>
                <c:pt idx="11">
                  <c:v>учасники ліквідації аварії на ЧАЕС</c:v>
                </c:pt>
              </c:strCache>
            </c:strRef>
          </c:cat>
          <c:val>
            <c:numRef>
              <c:f>Лист1!$B$2:$B$13</c:f>
              <c:numCache>
                <c:formatCode>General</c:formatCode>
                <c:ptCount val="12"/>
                <c:pt idx="0">
                  <c:v>1</c:v>
                </c:pt>
                <c:pt idx="1">
                  <c:v>6</c:v>
                </c:pt>
                <c:pt idx="2">
                  <c:v>2</c:v>
                </c:pt>
                <c:pt idx="3">
                  <c:v>367</c:v>
                </c:pt>
                <c:pt idx="4">
                  <c:v>1</c:v>
                </c:pt>
                <c:pt idx="5">
                  <c:v>6</c:v>
                </c:pt>
                <c:pt idx="6">
                  <c:v>16</c:v>
                </c:pt>
                <c:pt idx="7">
                  <c:v>15</c:v>
                </c:pt>
                <c:pt idx="8">
                  <c:v>24</c:v>
                </c:pt>
                <c:pt idx="9">
                  <c:v>5</c:v>
                </c:pt>
                <c:pt idx="10">
                  <c:v>1</c:v>
                </c:pt>
                <c:pt idx="11">
                  <c:v>1</c:v>
                </c:pt>
              </c:numCache>
            </c:numRef>
          </c:val>
        </c:ser>
        <c:dLbls>
          <c:showLegendKey val="0"/>
          <c:showVal val="0"/>
          <c:showCatName val="0"/>
          <c:showSerName val="0"/>
          <c:showPercent val="0"/>
          <c:showBubbleSize val="0"/>
          <c:showLeaderLines val="1"/>
        </c:dLbls>
      </c:pie3D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1756</Words>
  <Characters>10013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5</cp:revision>
  <dcterms:created xsi:type="dcterms:W3CDTF">2020-04-27T10:10:00Z</dcterms:created>
  <dcterms:modified xsi:type="dcterms:W3CDTF">2020-04-28T05:02:00Z</dcterms:modified>
</cp:coreProperties>
</file>