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C50B3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50B38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D20FC7">
        <w:rPr>
          <w:rFonts w:ascii="Times New Roman" w:hAnsi="Times New Roman"/>
          <w:sz w:val="24"/>
          <w:szCs w:val="24"/>
          <w:lang w:val="uk-UA"/>
        </w:rPr>
        <w:t>від 18.06.2021р. №424</w:t>
      </w:r>
      <w:r w:rsidR="00D86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0FC7">
        <w:rPr>
          <w:rFonts w:ascii="Times New Roman" w:hAnsi="Times New Roman"/>
          <w:sz w:val="24"/>
          <w:szCs w:val="24"/>
          <w:lang w:val="uk-UA"/>
        </w:rPr>
        <w:t>плати за землю</w:t>
      </w:r>
      <w:r w:rsidR="00F8514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на території </w:t>
      </w:r>
      <w:proofErr w:type="spellStart"/>
      <w:r w:rsidR="00DB57D0" w:rsidRPr="00C50B38">
        <w:rPr>
          <w:rFonts w:ascii="Times New Roman" w:hAnsi="Times New Roman"/>
          <w:sz w:val="24"/>
          <w:szCs w:val="24"/>
          <w:lang w:val="uk-UA"/>
        </w:rPr>
        <w:t>Знам’ян</w:t>
      </w:r>
      <w:r w:rsidR="00D868B1">
        <w:rPr>
          <w:rFonts w:ascii="Times New Roman" w:hAnsi="Times New Roman"/>
          <w:sz w:val="24"/>
          <w:szCs w:val="24"/>
          <w:lang w:val="uk-UA"/>
        </w:rPr>
        <w:t>ської</w:t>
      </w:r>
      <w:proofErr w:type="spellEnd"/>
      <w:r w:rsidR="00D868B1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D868B1"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3B1276">
        <w:rPr>
          <w:rFonts w:ascii="Times New Roman" w:hAnsi="Times New Roman"/>
          <w:sz w:val="24"/>
          <w:szCs w:val="24"/>
          <w:lang w:val="uk-UA"/>
        </w:rPr>
        <w:t>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BB5DED" w:rsidRPr="00BB5DED" w:rsidRDefault="005D3573" w:rsidP="00BB5DE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85148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BB5DED">
        <w:rPr>
          <w:rFonts w:ascii="Times New Roman" w:hAnsi="Times New Roman"/>
          <w:b/>
          <w:sz w:val="24"/>
          <w:szCs w:val="24"/>
          <w:lang w:val="uk-UA"/>
        </w:rPr>
        <w:t>.</w:t>
      </w:r>
      <w:r w:rsidRPr="00F8514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Головними цілями розробки даного </w:t>
      </w:r>
      <w:proofErr w:type="spellStart"/>
      <w:r w:rsidR="00BB5DED" w:rsidRPr="00BB5DED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 w:rsidR="00BB5DED" w:rsidRPr="00BB5DE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 міської ради є: рішення </w:t>
      </w:r>
      <w:proofErr w:type="spellStart"/>
      <w:r w:rsidR="00BB5DED" w:rsidRPr="00BB5DE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 міської ради від 25.04.2019 року  № 1963  «Про внесення змін до рішення міської ради від 23.01.2015 року № 159 </w:t>
      </w:r>
      <w:proofErr w:type="spellStart"/>
      <w:r w:rsidR="00BB5DED" w:rsidRPr="00BB5DED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 ставки земельного податку у м. Знам’янка з 01.01.2015 року ( відповідно до грошової оцінки земель)» та рішення від 22.03.2011 року № </w:t>
      </w:r>
      <w:r w:rsidR="008A7B8F">
        <w:rPr>
          <w:rFonts w:ascii="Times New Roman" w:hAnsi="Times New Roman"/>
          <w:sz w:val="24"/>
          <w:szCs w:val="24"/>
          <w:lang w:val="uk-UA"/>
        </w:rPr>
        <w:t xml:space="preserve"> 167 </w:t>
      </w:r>
      <w:proofErr w:type="spellStart"/>
      <w:r w:rsidR="008A7B8F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8A7B8F">
        <w:rPr>
          <w:rFonts w:ascii="Times New Roman" w:hAnsi="Times New Roman"/>
          <w:sz w:val="24"/>
          <w:szCs w:val="24"/>
          <w:lang w:val="uk-UA"/>
        </w:rPr>
        <w:t xml:space="preserve">  затвердження коефіціє</w:t>
      </w:r>
      <w:bookmarkStart w:id="0" w:name="_GoBack"/>
      <w:bookmarkEnd w:id="0"/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нтів орендної плати за земельні ділянки на території м. Знам’янка”  регулює процеси плати за землю лише на території м. Знам’янка, не включаючи в себе всю територію створеної  </w:t>
      </w:r>
      <w:proofErr w:type="spellStart"/>
      <w:r w:rsidR="00BB5DED" w:rsidRPr="00BB5DE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BB5DED" w:rsidRPr="00BB5DE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громади; подання контролюючому органу інформації про ставки земельного податку та пільг із його сплати за формою, затвердженою Постановою Кабінету Міністрів України відповідно до Податкового кодексу України; забезпечення прозорості, доступності інформації про ставки земельного податку та пільг із його сплати; наповнення дохідної частини місцевого бюджету; дотримання вимог Закону України «Про засади державної регуляторної політики в сфері господарської діяльності» щодо порядку його прийняття;  дотримання вимог Закону України «Про державну допомогу суб’єктам господарювання»; дотримання вимог Податкового Кодексу України, в частині встановлення ставок та пільг зі сплати плати за землю, у формі затвердженій Кабінетом Міністрів України.</w:t>
      </w:r>
    </w:p>
    <w:p w:rsidR="005D3573" w:rsidRPr="00564E01" w:rsidRDefault="005D3573" w:rsidP="00564E01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E48AA" w:rsidRPr="009E48AA">
        <w:rPr>
          <w:rFonts w:ascii="Times New Roman" w:hAnsi="Times New Roman"/>
          <w:sz w:val="24"/>
          <w:szCs w:val="24"/>
          <w:lang w:val="uk-UA"/>
        </w:rPr>
        <w:t>27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9E48A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9E48AA">
        <w:rPr>
          <w:rFonts w:ascii="Times New Roman" w:hAnsi="Times New Roman"/>
          <w:sz w:val="24"/>
          <w:szCs w:val="24"/>
          <w:lang w:val="uk-UA"/>
        </w:rPr>
        <w:t>1</w:t>
      </w:r>
      <w:r w:rsidR="005C677B">
        <w:rPr>
          <w:rFonts w:ascii="Times New Roman" w:hAnsi="Times New Roman"/>
          <w:sz w:val="24"/>
          <w:szCs w:val="24"/>
          <w:lang w:val="uk-UA"/>
        </w:rPr>
        <w:t>р.</w:t>
      </w:r>
      <w:r w:rsidRPr="00AE7C0E">
        <w:rPr>
          <w:rFonts w:ascii="Times New Roman" w:hAnsi="Times New Roman"/>
          <w:sz w:val="24"/>
          <w:szCs w:val="24"/>
          <w:lang w:val="uk-UA"/>
        </w:rPr>
        <w:t>-</w:t>
      </w:r>
      <w:r w:rsidR="009E48AA">
        <w:rPr>
          <w:rFonts w:ascii="Times New Roman" w:hAnsi="Times New Roman"/>
          <w:sz w:val="24"/>
          <w:szCs w:val="24"/>
          <w:lang w:val="uk-UA"/>
        </w:rPr>
        <w:t>30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9E48A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9E48AA">
        <w:rPr>
          <w:rFonts w:ascii="Times New Roman" w:hAnsi="Times New Roman"/>
          <w:sz w:val="24"/>
          <w:szCs w:val="24"/>
          <w:lang w:val="uk-UA"/>
        </w:rPr>
        <w:t>1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D20FC7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D20FC7">
        <w:rPr>
          <w:rFonts w:ascii="Times New Roman" w:hAnsi="Times New Roman"/>
          <w:sz w:val="24"/>
          <w:szCs w:val="24"/>
          <w:highlight w:val="yellow"/>
          <w:lang w:val="uk-UA"/>
        </w:rPr>
        <w:t>Враховуючи цілі регулювання для відстеження результативності регуляторн</w:t>
      </w:r>
      <w:r w:rsidR="0084393B" w:rsidRPr="00D20FC7">
        <w:rPr>
          <w:rFonts w:ascii="Times New Roman" w:hAnsi="Times New Roman"/>
          <w:sz w:val="24"/>
          <w:szCs w:val="24"/>
          <w:highlight w:val="yellow"/>
          <w:lang w:val="uk-UA"/>
        </w:rPr>
        <w:t>ого акту були визначені такі</w:t>
      </w:r>
      <w:r w:rsidRPr="00D20FC7">
        <w:rPr>
          <w:rFonts w:ascii="Times New Roman" w:hAnsi="Times New Roman"/>
          <w:sz w:val="24"/>
          <w:szCs w:val="24"/>
          <w:highlight w:val="yellow"/>
          <w:lang w:val="uk-UA"/>
        </w:rPr>
        <w:t xml:space="preserve"> показники результативності: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к</w:t>
      </w:r>
      <w:r w:rsidRPr="00BB5DED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ількість фізичних осіб - платників земельного податку, у тому числі осіб, що скористалися пільгою</w:t>
      </w:r>
      <w:r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;</w:t>
      </w:r>
      <w:r w:rsidRPr="00D20FC7">
        <w:rPr>
          <w:rFonts w:ascii="Times New Roman" w:eastAsia="Times New Roman" w:hAnsi="Times New Roman"/>
          <w:sz w:val="24"/>
          <w:szCs w:val="24"/>
          <w:highlight w:val="yellow"/>
          <w:shd w:val="clear" w:color="auto" w:fill="FFFFFF"/>
          <w:lang w:val="uk-UA" w:eastAsia="ru-RU"/>
        </w:rPr>
        <w:t xml:space="preserve"> 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с</w:t>
      </w:r>
      <w:r w:rsidRPr="00BB5DED">
        <w:rPr>
          <w:rFonts w:ascii="Times New Roman" w:eastAsia="Batang" w:hAnsi="Times New Roman"/>
          <w:sz w:val="24"/>
          <w:szCs w:val="24"/>
          <w:lang w:val="uk-UA" w:eastAsia="uk-UA"/>
        </w:rPr>
        <w:t>ума пільги по сплаті земельного податку фізичних осіб - платників податку на майно в частині плати за землю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к</w:t>
      </w:r>
      <w:r w:rsidRPr="00BB5DED">
        <w:rPr>
          <w:rFonts w:ascii="Times New Roman" w:eastAsia="Batang" w:hAnsi="Times New Roman"/>
          <w:sz w:val="24"/>
          <w:szCs w:val="24"/>
          <w:lang w:val="uk-UA" w:eastAsia="uk-UA"/>
        </w:rPr>
        <w:t>ількість юридичних осіб - платників земельного податку, у тому числі осіб, що скористалися пільгою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с</w:t>
      </w:r>
      <w:r w:rsidRPr="00BB5DED">
        <w:rPr>
          <w:rFonts w:ascii="Times New Roman" w:eastAsia="Batang" w:hAnsi="Times New Roman"/>
          <w:sz w:val="24"/>
          <w:szCs w:val="24"/>
          <w:lang w:val="uk-UA" w:eastAsia="uk-UA"/>
        </w:rPr>
        <w:t>ума пільги по сплаті земельного податку юридичних осіб - платників податку на майно в частині плати за землю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з</w:t>
      </w:r>
      <w:r w:rsidRPr="00BB5DED">
        <w:rPr>
          <w:rFonts w:ascii="Times New Roman" w:eastAsia="Batang" w:hAnsi="Times New Roman"/>
          <w:sz w:val="24"/>
          <w:szCs w:val="24"/>
          <w:lang w:val="uk-UA" w:eastAsia="uk-UA"/>
        </w:rPr>
        <w:t>агальна сума надходжень від плати за землю (земельний податок та орендна плата) до міського бюджету за звітний період фізичними особами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з</w:t>
      </w:r>
      <w:r w:rsidRPr="00BB5DED">
        <w:rPr>
          <w:rFonts w:ascii="Times New Roman" w:eastAsia="Batang" w:hAnsi="Times New Roman"/>
          <w:sz w:val="24"/>
          <w:szCs w:val="24"/>
          <w:lang w:val="uk-UA" w:eastAsia="uk-UA"/>
        </w:rPr>
        <w:t>агальна сума надходжень від плати за землю (земельний податок та орендна плата) до міського бюджету за звітний період юридичними особами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 w:eastAsia="uk-UA"/>
        </w:rPr>
        <w:t>з</w:t>
      </w:r>
      <w:r w:rsidRPr="00BB5DED">
        <w:rPr>
          <w:rFonts w:ascii="Times New Roman" w:eastAsia="Batang" w:hAnsi="Times New Roman"/>
          <w:sz w:val="24"/>
          <w:szCs w:val="24"/>
          <w:lang w:val="uk-UA" w:eastAsia="uk-UA"/>
        </w:rPr>
        <w:t>агальна сума надходжень від плати за землю (земельний податок та орендна плата) до міського бюджету за звітний період  фізичними та юридичними особами</w:t>
      </w:r>
      <w:r>
        <w:rPr>
          <w:rFonts w:ascii="Times New Roman" w:eastAsia="Batang" w:hAnsi="Times New Roman"/>
          <w:sz w:val="24"/>
          <w:szCs w:val="24"/>
          <w:lang w:val="uk-UA" w:eastAsia="uk-UA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</w:t>
      </w:r>
      <w:r w:rsidRPr="00BB5DED">
        <w:rPr>
          <w:rFonts w:ascii="Times New Roman" w:eastAsia="Times New Roman" w:hAnsi="Times New Roman"/>
          <w:sz w:val="24"/>
          <w:szCs w:val="24"/>
          <w:lang w:val="uk-UA" w:eastAsia="ru-RU"/>
        </w:rPr>
        <w:t>ількість землевласників і землекористувачів, які мають заборгованість із сплати земельного податку в розрізі фізичних та юридичних осіб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з</w:t>
      </w:r>
      <w:r w:rsidRPr="00BB5DED">
        <w:rPr>
          <w:rFonts w:ascii="Times New Roman" w:eastAsia="Times New Roman" w:hAnsi="Times New Roman"/>
          <w:sz w:val="24"/>
          <w:szCs w:val="24"/>
          <w:lang w:val="uk-UA" w:eastAsia="ru-RU"/>
        </w:rPr>
        <w:t>агальна сума заборгованості зі сплати земельного податку в розрізі фізичних та юридичних осіб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BB5DED" w:rsidRPr="00BB5DED" w:rsidRDefault="00BB5DED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Batang" w:hAnsi="Times New Roman"/>
          <w:color w:val="000000"/>
          <w:kern w:val="24"/>
          <w:sz w:val="24"/>
          <w:szCs w:val="24"/>
          <w:lang w:val="uk-UA" w:eastAsia="uk-UA"/>
        </w:rPr>
        <w:t>р</w:t>
      </w:r>
      <w:r w:rsidRPr="00BB5DED">
        <w:rPr>
          <w:rFonts w:ascii="Times New Roman" w:eastAsia="Batang" w:hAnsi="Times New Roman"/>
          <w:color w:val="000000"/>
          <w:kern w:val="24"/>
          <w:sz w:val="24"/>
          <w:szCs w:val="24"/>
          <w:lang w:val="uk-UA" w:eastAsia="uk-UA"/>
        </w:rPr>
        <w:t>івень поінформованості суб'єктів господарювання та/або фізичних осіб з основних положень акта</w:t>
      </w:r>
      <w:r>
        <w:rPr>
          <w:rFonts w:ascii="Times New Roman" w:eastAsia="Batang" w:hAnsi="Times New Roman"/>
          <w:color w:val="000000"/>
          <w:kern w:val="24"/>
          <w:sz w:val="24"/>
          <w:szCs w:val="24"/>
          <w:lang w:val="uk-UA" w:eastAsia="uk-UA"/>
        </w:rPr>
        <w:t>.</w:t>
      </w:r>
    </w:p>
    <w:p w:rsidR="005D3573" w:rsidRPr="00EA79AF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A79AF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A79AF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EA79AF">
        <w:rPr>
          <w:rFonts w:ascii="Times New Roman" w:hAnsi="Times New Roman"/>
          <w:b/>
          <w:sz w:val="24"/>
          <w:szCs w:val="24"/>
        </w:rPr>
        <w:t xml:space="preserve"> акту</w:t>
      </w:r>
      <w:r w:rsidRPr="00EA79AF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8"/>
        <w:gridCol w:w="2008"/>
        <w:gridCol w:w="1760"/>
        <w:gridCol w:w="1279"/>
        <w:gridCol w:w="1246"/>
      </w:tblGrid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center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Показник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center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2022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ік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center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2023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ік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center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2024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ік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center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2025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ік</w:t>
            </w:r>
            <w:r w:rsidRPr="00BB5DED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Кількість фізичних осіб - платників земельного податку, у тому числі осіб, що скористалися пільгою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3219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3444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3685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3943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Сума пільги по сплаті земельного податку фізичних осіб - платників податку на майно в частині плати за землю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47,0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52,0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57,0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62,0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Кількість юридичних осіб - платників земельного податку, у тому числі осіб, що скористалися пільгою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112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145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Сума пільги по сплаті земельного податку юридичних осіб - платників податку на майно в частині плати за землю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178,0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187,0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196,0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205,0</w:t>
            </w:r>
          </w:p>
        </w:tc>
      </w:tr>
      <w:tr w:rsidR="00BB5DED" w:rsidRPr="00BB5DED" w:rsidTr="00BB5DED">
        <w:trPr>
          <w:trHeight w:val="1807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 xml:space="preserve">Загальна сума надходжень від плати за землю (земельний податок та орендна плата) до міського бюджету за звітний період фізичними особами, </w:t>
            </w:r>
            <w:proofErr w:type="spellStart"/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тис.грн</w:t>
            </w:r>
            <w:proofErr w:type="spellEnd"/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2665,0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2852,0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3052,0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3265,0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 xml:space="preserve">Загальна сума надходжень від плати за землю (земельний податок та орендна плата) до міського бюджету за звітний період юридичними особами, тис. </w:t>
            </w:r>
            <w:proofErr w:type="spellStart"/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15935,0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17050,0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18243,0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19521,0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  <w:t>Загальна сума надходжень від плати за землю (земельний податок та орендна плата) до міського бюджету за звітний період  фізичними та юридичними особами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18600,0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19902,0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21295,0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22786,0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землевласників і землекористувачів, які мають заборгованість із сплати земельного податку в розрізі </w:t>
            </w:r>
            <w:r w:rsidRPr="00BB5DE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фізичних та юридичних осіб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33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40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Times New Roman" w:eastAsia="Batang" w:hAnsi="Times New Roman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Загальна сума заборгованості зі сплати земельного податку в розрізі фізичних та юридичних осіб, тис </w:t>
            </w:r>
            <w:proofErr w:type="spellStart"/>
            <w:r w:rsidRPr="00BB5DE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.грн</w:t>
            </w:r>
            <w:proofErr w:type="spellEnd"/>
            <w:r w:rsidRPr="00BB5DE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18,60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19,90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21,20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BB5DED">
              <w:rPr>
                <w:rFonts w:ascii="Times New Roman" w:eastAsia="Batang" w:hAnsi="Times New Roman"/>
                <w:sz w:val="24"/>
                <w:szCs w:val="24"/>
              </w:rPr>
              <w:t>22,70</w:t>
            </w:r>
          </w:p>
        </w:tc>
      </w:tr>
      <w:tr w:rsidR="00BB5DED" w:rsidRPr="00BB5DED" w:rsidTr="00BB5DED"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Рівень поінформованості суб'єктів господарювання та/або фізичних осіб з основних положень акта</w:t>
            </w:r>
            <w:r w:rsidRPr="00BB5DED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DED" w:rsidRPr="00BB5DED" w:rsidRDefault="00BB5DED" w:rsidP="00BB5DED">
            <w:pPr>
              <w:widowControl w:val="0"/>
              <w:spacing w:after="0"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Всі суб’єкти господарювання будуть проінформовані про рішення </w:t>
            </w:r>
            <w:proofErr w:type="spellStart"/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ради шляхом опублікування його в газеті "</w:t>
            </w:r>
            <w:proofErr w:type="spellStart"/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офіційному сайті  </w:t>
            </w:r>
            <w:proofErr w:type="spellStart"/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BB5DED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міської територіальної громади</w:t>
            </w:r>
            <w:r w:rsidRPr="00BB5DED">
              <w:rPr>
                <w:rFonts w:ascii="Times New Roman" w:eastAsia="Batang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54460" w:rsidRPr="00AE49BD" w:rsidRDefault="00A54460" w:rsidP="00A54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A54460" w:rsidRPr="00AE49BD" w:rsidRDefault="00A54460" w:rsidP="00A54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AE49BD">
        <w:rPr>
          <w:rFonts w:ascii="Times New Roman" w:hAnsi="Times New Roman"/>
          <w:lang w:val="uk-UA"/>
        </w:rPr>
        <w:t>вик.Оксана</w:t>
      </w:r>
      <w:proofErr w:type="spellEnd"/>
      <w:r w:rsidRPr="00AE49BD">
        <w:rPr>
          <w:rFonts w:ascii="Times New Roman" w:hAnsi="Times New Roman"/>
          <w:lang w:val="uk-UA"/>
        </w:rPr>
        <w:t xml:space="preserve"> ГОЛІКОВА</w:t>
      </w: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A54460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200A9A"/>
    <w:rsid w:val="00203D35"/>
    <w:rsid w:val="002316C6"/>
    <w:rsid w:val="00252485"/>
    <w:rsid w:val="00286A73"/>
    <w:rsid w:val="002979A1"/>
    <w:rsid w:val="002B130E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B1D52"/>
    <w:rsid w:val="003C314A"/>
    <w:rsid w:val="003E1D49"/>
    <w:rsid w:val="003E4CFD"/>
    <w:rsid w:val="004258AA"/>
    <w:rsid w:val="00427F56"/>
    <w:rsid w:val="00455287"/>
    <w:rsid w:val="00485897"/>
    <w:rsid w:val="00497971"/>
    <w:rsid w:val="004A0529"/>
    <w:rsid w:val="004C6B01"/>
    <w:rsid w:val="0051242F"/>
    <w:rsid w:val="00535665"/>
    <w:rsid w:val="00564E01"/>
    <w:rsid w:val="0058274D"/>
    <w:rsid w:val="0059051E"/>
    <w:rsid w:val="005C677B"/>
    <w:rsid w:val="005D118B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A7B8F"/>
    <w:rsid w:val="008F01B4"/>
    <w:rsid w:val="0092112E"/>
    <w:rsid w:val="009429CC"/>
    <w:rsid w:val="00944B5A"/>
    <w:rsid w:val="00972EAD"/>
    <w:rsid w:val="00975543"/>
    <w:rsid w:val="009B12A6"/>
    <w:rsid w:val="009B50BE"/>
    <w:rsid w:val="009B54C8"/>
    <w:rsid w:val="009D002C"/>
    <w:rsid w:val="009D7195"/>
    <w:rsid w:val="009E48AA"/>
    <w:rsid w:val="00A054EC"/>
    <w:rsid w:val="00A1490F"/>
    <w:rsid w:val="00A16EE5"/>
    <w:rsid w:val="00A22321"/>
    <w:rsid w:val="00A446DB"/>
    <w:rsid w:val="00A54460"/>
    <w:rsid w:val="00A72287"/>
    <w:rsid w:val="00A867F9"/>
    <w:rsid w:val="00AE7C0E"/>
    <w:rsid w:val="00AF0F5F"/>
    <w:rsid w:val="00B56F0B"/>
    <w:rsid w:val="00B74BFF"/>
    <w:rsid w:val="00B85953"/>
    <w:rsid w:val="00B9693E"/>
    <w:rsid w:val="00BB5DED"/>
    <w:rsid w:val="00BB7152"/>
    <w:rsid w:val="00C06CC5"/>
    <w:rsid w:val="00C07FC9"/>
    <w:rsid w:val="00C50B38"/>
    <w:rsid w:val="00C62D22"/>
    <w:rsid w:val="00C670B2"/>
    <w:rsid w:val="00C8323C"/>
    <w:rsid w:val="00CA1ADB"/>
    <w:rsid w:val="00CB7E83"/>
    <w:rsid w:val="00D20FC7"/>
    <w:rsid w:val="00D24525"/>
    <w:rsid w:val="00D25CFB"/>
    <w:rsid w:val="00D3120B"/>
    <w:rsid w:val="00D868B1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A79AF"/>
    <w:rsid w:val="00EC4402"/>
    <w:rsid w:val="00EE44EF"/>
    <w:rsid w:val="00F121EA"/>
    <w:rsid w:val="00F25B0A"/>
    <w:rsid w:val="00F33D63"/>
    <w:rsid w:val="00F44294"/>
    <w:rsid w:val="00F71831"/>
    <w:rsid w:val="00F74B50"/>
    <w:rsid w:val="00F85148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7</cp:revision>
  <cp:lastPrinted>2021-10-05T11:54:00Z</cp:lastPrinted>
  <dcterms:created xsi:type="dcterms:W3CDTF">2021-10-04T11:51:00Z</dcterms:created>
  <dcterms:modified xsi:type="dcterms:W3CDTF">2021-10-05T12:00:00Z</dcterms:modified>
</cp:coreProperties>
</file>