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2E1AD1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Pr="00C50B3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50B38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215564">
        <w:rPr>
          <w:rFonts w:ascii="Times New Roman" w:hAnsi="Times New Roman"/>
          <w:sz w:val="24"/>
          <w:szCs w:val="24"/>
          <w:lang w:val="uk-UA"/>
        </w:rPr>
        <w:t xml:space="preserve">від 18.06.2021р. №2450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«Про 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C50B38">
        <w:rPr>
          <w:rFonts w:ascii="Times New Roman" w:hAnsi="Times New Roman"/>
          <w:sz w:val="24"/>
          <w:szCs w:val="24"/>
          <w:lang w:val="uk-UA"/>
        </w:rPr>
        <w:t xml:space="preserve"> єдиного податку для першої та другої груп платників єдиного податку на території м.Знам’янка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відділ економічного розвитку, </w:t>
      </w:r>
      <w:r w:rsidR="00466AEA">
        <w:rPr>
          <w:rFonts w:ascii="Times New Roman" w:hAnsi="Times New Roman"/>
          <w:sz w:val="24"/>
          <w:szCs w:val="24"/>
          <w:lang w:val="uk-UA"/>
        </w:rPr>
        <w:t xml:space="preserve">підприємництва, промисловості </w:t>
      </w:r>
      <w:r w:rsidRPr="003B1276">
        <w:rPr>
          <w:rFonts w:ascii="Times New Roman" w:hAnsi="Times New Roman"/>
          <w:sz w:val="24"/>
          <w:szCs w:val="24"/>
          <w:lang w:val="uk-UA"/>
        </w:rPr>
        <w:t>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497971" w:rsidRPr="00497971" w:rsidRDefault="005D3573" w:rsidP="00497971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497971" w:rsidRPr="00497971">
        <w:rPr>
          <w:rFonts w:ascii="Times New Roman" w:eastAsia="Batang" w:hAnsi="Times New Roman"/>
          <w:sz w:val="24"/>
          <w:szCs w:val="24"/>
          <w:lang w:val="uk-UA" w:eastAsia="uk-UA"/>
        </w:rPr>
        <w:t xml:space="preserve">встановлення ставок єдиного податку відповідно до вимог Податкового кодексу України для суб'єктів господарювання – платників податку </w:t>
      </w:r>
      <w:r w:rsidR="00497971" w:rsidRPr="00497971">
        <w:rPr>
          <w:rFonts w:ascii="Times New Roman" w:eastAsia="Batang" w:hAnsi="Times New Roman"/>
          <w:sz w:val="24"/>
          <w:szCs w:val="24"/>
          <w:lang w:val="uk-UA"/>
        </w:rPr>
        <w:t xml:space="preserve"> першої та другої груп;</w:t>
      </w:r>
      <w:r w:rsidR="00497971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497971" w:rsidRPr="00497971">
        <w:rPr>
          <w:rFonts w:ascii="Times New Roman" w:eastAsia="Batang" w:hAnsi="Times New Roman"/>
          <w:sz w:val="24"/>
          <w:szCs w:val="24"/>
          <w:lang w:val="uk-UA"/>
        </w:rPr>
        <w:t>своєчасне надходження до міського бюджету єдиного податку орієнтовно у розмірі 3417 тис.грн.,  що дозволить збалансувати інтереси суб’єктів господарювання, населення, органів влади;</w:t>
      </w:r>
      <w:r w:rsidR="00497971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497971" w:rsidRPr="00497971">
        <w:rPr>
          <w:rFonts w:ascii="Times New Roman" w:eastAsia="Batang" w:hAnsi="Times New Roman"/>
          <w:sz w:val="24"/>
          <w:szCs w:val="24"/>
          <w:lang w:val="uk-UA"/>
        </w:rPr>
        <w:t>забезпечення виконання в 2021 році міських програм;</w:t>
      </w:r>
      <w:r w:rsidR="00497971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497971" w:rsidRPr="00497971">
        <w:rPr>
          <w:rFonts w:ascii="Times New Roman" w:eastAsia="Batang" w:hAnsi="Times New Roman"/>
          <w:sz w:val="24"/>
          <w:szCs w:val="24"/>
          <w:lang w:val="uk-UA"/>
        </w:rPr>
        <w:t>дотримання вимог законодавства, зокрема Податкового кодексу України;</w:t>
      </w:r>
      <w:r w:rsidR="00497971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497971" w:rsidRPr="00497971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972EAD" w:rsidRDefault="005D3573" w:rsidP="004979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F957A9">
        <w:rPr>
          <w:rFonts w:ascii="Times New Roman" w:hAnsi="Times New Roman"/>
          <w:sz w:val="24"/>
          <w:szCs w:val="24"/>
          <w:lang w:val="uk-UA"/>
        </w:rPr>
        <w:t>15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466AEA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466AEA">
        <w:rPr>
          <w:rFonts w:ascii="Times New Roman" w:hAnsi="Times New Roman"/>
          <w:sz w:val="24"/>
          <w:szCs w:val="24"/>
          <w:lang w:val="uk-UA"/>
        </w:rPr>
        <w:t>21</w:t>
      </w:r>
      <w:r w:rsidRPr="00AE7C0E">
        <w:rPr>
          <w:rFonts w:ascii="Times New Roman" w:hAnsi="Times New Roman"/>
          <w:sz w:val="24"/>
          <w:szCs w:val="24"/>
          <w:lang w:val="uk-UA"/>
        </w:rPr>
        <w:t>р. -</w:t>
      </w:r>
      <w:r w:rsidR="00C06CC5" w:rsidRPr="00AE7C0E">
        <w:rPr>
          <w:rFonts w:ascii="Times New Roman" w:hAnsi="Times New Roman"/>
          <w:sz w:val="24"/>
          <w:szCs w:val="24"/>
          <w:lang w:val="uk-UA"/>
        </w:rPr>
        <w:t>1</w:t>
      </w:r>
      <w:r w:rsidR="00466AEA">
        <w:rPr>
          <w:rFonts w:ascii="Times New Roman" w:hAnsi="Times New Roman"/>
          <w:sz w:val="24"/>
          <w:szCs w:val="24"/>
          <w:lang w:val="uk-UA"/>
        </w:rPr>
        <w:t>5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466AEA">
        <w:rPr>
          <w:rFonts w:ascii="Times New Roman" w:hAnsi="Times New Roman"/>
          <w:sz w:val="24"/>
          <w:szCs w:val="24"/>
          <w:lang w:val="uk-UA"/>
        </w:rPr>
        <w:t>1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</w:t>
      </w:r>
      <w:r w:rsidR="00466AEA">
        <w:rPr>
          <w:rFonts w:ascii="Times New Roman" w:hAnsi="Times New Roman"/>
          <w:sz w:val="24"/>
          <w:szCs w:val="24"/>
          <w:lang w:val="uk-UA"/>
        </w:rPr>
        <w:t>1</w:t>
      </w:r>
      <w:r w:rsidRPr="00AE7C0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6AEA">
        <w:rPr>
          <w:rFonts w:ascii="Times New Roman" w:hAnsi="Times New Roman"/>
          <w:sz w:val="24"/>
          <w:szCs w:val="24"/>
          <w:lang w:val="uk-UA"/>
        </w:rPr>
        <w:t>повторне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A72287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A72287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A72287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A72287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 надходжень </w:t>
      </w:r>
      <w:r w:rsidR="00AE7C0E" w:rsidRPr="00A72287">
        <w:rPr>
          <w:rFonts w:ascii="Times New Roman" w:eastAsia="Times New Roman" w:hAnsi="Times New Roman"/>
          <w:sz w:val="24"/>
          <w:szCs w:val="24"/>
          <w:lang w:val="uk-UA" w:eastAsia="ru-RU"/>
        </w:rPr>
        <w:t>до міського бюджету</w:t>
      </w:r>
      <w:r w:rsidRPr="00A72287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A72287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</w:t>
      </w:r>
      <w:r w:rsidR="00AE7C0E"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та/або фізичних осіб</w:t>
      </w:r>
      <w:r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на</w:t>
      </w:r>
      <w:r w:rsidR="00AE7C0E"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яких поширюватиметься дія акта;</w:t>
      </w:r>
    </w:p>
    <w:p w:rsidR="00A72287" w:rsidRPr="00A72287" w:rsidRDefault="00A72287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розмір коштів і час, що витрачатимуться СГ та/або фізичними особами, пов'язаними з виконанням вимог акта;</w:t>
      </w:r>
    </w:p>
    <w:p w:rsidR="00AE7C0E" w:rsidRPr="00A72287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фізичних осіб з основних положень акта;</w:t>
      </w:r>
    </w:p>
    <w:p w:rsidR="00AE7C0E" w:rsidRPr="00A72287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2287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кількість суб’єктів малого підприємництва, що використовують спрощену систему оподаткування. </w:t>
      </w:r>
    </w:p>
    <w:p w:rsidR="005D3573" w:rsidRPr="00972EAD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2EAD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 xml:space="preserve"> акту</w:t>
      </w:r>
      <w:r w:rsidRPr="00972EAD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1"/>
        <w:gridCol w:w="811"/>
        <w:gridCol w:w="1110"/>
        <w:gridCol w:w="1016"/>
        <w:gridCol w:w="851"/>
        <w:gridCol w:w="992"/>
        <w:gridCol w:w="1003"/>
        <w:gridCol w:w="1246"/>
      </w:tblGrid>
      <w:tr w:rsidR="005B593E" w:rsidRPr="00A72287" w:rsidTr="005B593E">
        <w:tc>
          <w:tcPr>
            <w:tcW w:w="2841" w:type="dxa"/>
          </w:tcPr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Показник </w:t>
            </w:r>
          </w:p>
        </w:tc>
        <w:tc>
          <w:tcPr>
            <w:tcW w:w="811" w:type="dxa"/>
          </w:tcPr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І квартал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2021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р.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 (очікуване)</w:t>
            </w:r>
          </w:p>
        </w:tc>
        <w:tc>
          <w:tcPr>
            <w:tcW w:w="1110" w:type="dxa"/>
          </w:tcPr>
          <w:p w:rsidR="005B593E" w:rsidRPr="005B593E" w:rsidRDefault="005B593E" w:rsidP="005B593E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І квартал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  <w:p w:rsidR="005B593E" w:rsidRPr="005B593E" w:rsidRDefault="005B593E" w:rsidP="005B593E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2021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р.</w:t>
            </w:r>
          </w:p>
          <w:p w:rsidR="005B593E" w:rsidRPr="005B593E" w:rsidRDefault="005B593E" w:rsidP="005B593E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(факт)</w:t>
            </w:r>
          </w:p>
        </w:tc>
        <w:tc>
          <w:tcPr>
            <w:tcW w:w="1016" w:type="dxa"/>
          </w:tcPr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ІІ квартал </w:t>
            </w:r>
          </w:p>
          <w:p w:rsidR="005B593E" w:rsidRDefault="005B593E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2021р. </w:t>
            </w:r>
          </w:p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(очікуване)</w:t>
            </w:r>
          </w:p>
        </w:tc>
        <w:tc>
          <w:tcPr>
            <w:tcW w:w="851" w:type="dxa"/>
          </w:tcPr>
          <w:p w:rsidR="005B593E" w:rsidRPr="005B593E" w:rsidRDefault="005B593E" w:rsidP="005B593E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ІІ 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квартал </w:t>
            </w:r>
          </w:p>
          <w:p w:rsidR="005B593E" w:rsidRDefault="005B593E" w:rsidP="005B593E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2021р.</w:t>
            </w:r>
          </w:p>
          <w:p w:rsidR="005B593E" w:rsidRPr="005B593E" w:rsidRDefault="005B593E" w:rsidP="005B593E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(факт)</w:t>
            </w:r>
          </w:p>
        </w:tc>
        <w:tc>
          <w:tcPr>
            <w:tcW w:w="992" w:type="dxa"/>
          </w:tcPr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ІІІ квартал </w:t>
            </w:r>
          </w:p>
          <w:p w:rsidR="005B593E" w:rsidRDefault="005B593E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2021р. </w:t>
            </w: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(очікуване)</w:t>
            </w:r>
          </w:p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</w:p>
        </w:tc>
        <w:tc>
          <w:tcPr>
            <w:tcW w:w="1003" w:type="dxa"/>
          </w:tcPr>
          <w:p w:rsidR="005B593E" w:rsidRPr="005B593E" w:rsidRDefault="005B593E" w:rsidP="005B593E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ІІІ квартал </w:t>
            </w:r>
          </w:p>
          <w:p w:rsidR="005B593E" w:rsidRDefault="005B593E" w:rsidP="005B593E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2021р.</w:t>
            </w:r>
          </w:p>
          <w:p w:rsidR="005B593E" w:rsidRPr="005B593E" w:rsidRDefault="005B593E" w:rsidP="005B593E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(факт)</w:t>
            </w:r>
          </w:p>
        </w:tc>
        <w:tc>
          <w:tcPr>
            <w:tcW w:w="1246" w:type="dxa"/>
          </w:tcPr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І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en-US" w:eastAsia="uk-UA"/>
              </w:rPr>
              <w:t>V</w:t>
            </w: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 квартал </w:t>
            </w:r>
          </w:p>
          <w:p w:rsidR="005B593E" w:rsidRDefault="005B593E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 xml:space="preserve">2021р. </w:t>
            </w:r>
          </w:p>
          <w:p w:rsidR="005B593E" w:rsidRPr="005B593E" w:rsidRDefault="005B593E" w:rsidP="00A72287">
            <w:pPr>
              <w:spacing w:after="0"/>
              <w:jc w:val="center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(очікуване)</w:t>
            </w:r>
          </w:p>
        </w:tc>
      </w:tr>
      <w:tr w:rsidR="005B593E" w:rsidRPr="00A72287" w:rsidTr="005B593E">
        <w:tc>
          <w:tcPr>
            <w:tcW w:w="2841" w:type="dxa"/>
          </w:tcPr>
          <w:p w:rsidR="005B593E" w:rsidRPr="005B593E" w:rsidRDefault="005B593E" w:rsidP="00A72287">
            <w:pPr>
              <w:spacing w:after="0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Розмір надходжень до міського бюджету, грн.</w:t>
            </w:r>
          </w:p>
        </w:tc>
        <w:tc>
          <w:tcPr>
            <w:tcW w:w="811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854390,25</w:t>
            </w:r>
          </w:p>
        </w:tc>
        <w:tc>
          <w:tcPr>
            <w:tcW w:w="1110" w:type="dxa"/>
          </w:tcPr>
          <w:p w:rsidR="005B593E" w:rsidRPr="005B593E" w:rsidRDefault="002C17BB" w:rsidP="00A72287">
            <w:pPr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3599,7</w:t>
            </w:r>
          </w:p>
        </w:tc>
        <w:tc>
          <w:tcPr>
            <w:tcW w:w="1016" w:type="dxa"/>
          </w:tcPr>
          <w:p w:rsidR="005B593E" w:rsidRPr="005B593E" w:rsidRDefault="005B593E" w:rsidP="00A72287">
            <w:pPr>
              <w:jc w:val="center"/>
              <w:rPr>
                <w:rFonts w:eastAsia="Batang"/>
                <w:sz w:val="18"/>
                <w:szCs w:val="18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854390,25</w:t>
            </w:r>
          </w:p>
        </w:tc>
        <w:tc>
          <w:tcPr>
            <w:tcW w:w="851" w:type="dxa"/>
          </w:tcPr>
          <w:p w:rsidR="005B593E" w:rsidRPr="005B593E" w:rsidRDefault="002C17BB" w:rsidP="00A72287">
            <w:pPr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2990,1</w:t>
            </w:r>
          </w:p>
        </w:tc>
        <w:tc>
          <w:tcPr>
            <w:tcW w:w="992" w:type="dxa"/>
          </w:tcPr>
          <w:p w:rsidR="005B593E" w:rsidRPr="005B593E" w:rsidRDefault="005B593E" w:rsidP="00A72287">
            <w:pPr>
              <w:jc w:val="center"/>
              <w:rPr>
                <w:rFonts w:eastAsia="Batang"/>
                <w:sz w:val="18"/>
                <w:szCs w:val="18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854390,25</w:t>
            </w:r>
          </w:p>
        </w:tc>
        <w:tc>
          <w:tcPr>
            <w:tcW w:w="1003" w:type="dxa"/>
          </w:tcPr>
          <w:p w:rsidR="005B593E" w:rsidRPr="005B593E" w:rsidRDefault="002C17BB" w:rsidP="00A72287">
            <w:pPr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3416,9</w:t>
            </w:r>
          </w:p>
        </w:tc>
        <w:tc>
          <w:tcPr>
            <w:tcW w:w="1246" w:type="dxa"/>
          </w:tcPr>
          <w:p w:rsidR="005B593E" w:rsidRPr="005B593E" w:rsidRDefault="005B593E" w:rsidP="00A72287">
            <w:pPr>
              <w:jc w:val="center"/>
              <w:rPr>
                <w:rFonts w:eastAsia="Batang"/>
                <w:sz w:val="18"/>
                <w:szCs w:val="18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854390,25</w:t>
            </w:r>
          </w:p>
        </w:tc>
      </w:tr>
      <w:tr w:rsidR="005B593E" w:rsidRPr="00A72287" w:rsidTr="005B593E">
        <w:tc>
          <w:tcPr>
            <w:tcW w:w="2841" w:type="dxa"/>
          </w:tcPr>
          <w:p w:rsidR="005B593E" w:rsidRPr="005B593E" w:rsidRDefault="005B593E" w:rsidP="00A72287">
            <w:pPr>
              <w:spacing w:after="0"/>
              <w:jc w:val="both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val="uk-UA" w:eastAsia="uk-UA"/>
              </w:rPr>
              <w:t>Кількість суб'єктів господарювання та/або фізичних осіб, на яких поширюватиметься дія акта</w:t>
            </w: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811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110" w:type="dxa"/>
          </w:tcPr>
          <w:p w:rsidR="005B593E" w:rsidRPr="005B593E" w:rsidRDefault="00D5148A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1016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851" w:type="dxa"/>
          </w:tcPr>
          <w:p w:rsidR="005B593E" w:rsidRPr="005B593E" w:rsidRDefault="00D5148A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992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003" w:type="dxa"/>
          </w:tcPr>
          <w:p w:rsidR="005B593E" w:rsidRPr="005B593E" w:rsidRDefault="00D5148A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529</w:t>
            </w:r>
          </w:p>
        </w:tc>
        <w:tc>
          <w:tcPr>
            <w:tcW w:w="1246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436</w:t>
            </w:r>
          </w:p>
        </w:tc>
      </w:tr>
      <w:tr w:rsidR="005B593E" w:rsidRPr="00A72287" w:rsidTr="005A7E04">
        <w:tc>
          <w:tcPr>
            <w:tcW w:w="2841" w:type="dxa"/>
          </w:tcPr>
          <w:p w:rsidR="005B593E" w:rsidRPr="005B593E" w:rsidRDefault="005B593E" w:rsidP="00A72287">
            <w:pPr>
              <w:spacing w:after="0"/>
              <w:jc w:val="both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bCs/>
                <w:color w:val="000000"/>
                <w:kern w:val="24"/>
                <w:sz w:val="18"/>
                <w:szCs w:val="18"/>
                <w:lang w:val="uk-UA" w:eastAsia="uk-UA"/>
              </w:rPr>
              <w:t>Розмір коштів і час, що витрачатимуться СГ та/або фізичними особами, пов'язаними з виконанням вимог акта</w:t>
            </w:r>
            <w:r w:rsidRPr="005B593E">
              <w:rPr>
                <w:rFonts w:ascii="Times New Roman" w:eastAsia="Batang" w:hAnsi="Times New Roman"/>
                <w:bCs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7029" w:type="dxa"/>
            <w:gridSpan w:val="7"/>
          </w:tcPr>
          <w:p w:rsidR="005B593E" w:rsidRPr="005B593E" w:rsidRDefault="005B593E" w:rsidP="00D5148A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Час затрачений на ознайомлення з рішенням  та </w:t>
            </w:r>
            <w:r w:rsidRPr="005B593E">
              <w:rPr>
                <w:rFonts w:ascii="Times New Roman" w:eastAsia="Batang" w:hAnsi="Times New Roman"/>
                <w:bCs/>
                <w:sz w:val="18"/>
                <w:szCs w:val="18"/>
                <w:lang w:val="uk-UA" w:eastAsia="uk-UA"/>
              </w:rPr>
              <w:t>внесення змін до внутрішніх процедур обліку та  звітності</w:t>
            </w: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 становить 2,5 години для одного суб'єкта малого підприємництва, в грошовому вираженні витрати  для 436 </w:t>
            </w:r>
            <w:proofErr w:type="spellStart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eastAsia="uk-UA"/>
              </w:rPr>
              <w:t>'</w:t>
            </w:r>
            <w:proofErr w:type="spellStart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єктів</w:t>
            </w:r>
            <w:proofErr w:type="spellEnd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 становлять </w:t>
            </w:r>
            <w:r w:rsidRPr="005B593E">
              <w:rPr>
                <w:rFonts w:ascii="Times New Roman" w:eastAsia="Batang" w:hAnsi="Times New Roman"/>
                <w:color w:val="000000"/>
                <w:sz w:val="18"/>
                <w:szCs w:val="18"/>
                <w:lang w:val="uk-UA" w:eastAsia="uk-UA"/>
              </w:rPr>
              <w:t>30860,08</w:t>
            </w: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 грн. </w:t>
            </w:r>
          </w:p>
        </w:tc>
      </w:tr>
      <w:tr w:rsidR="005B593E" w:rsidRPr="00892F52" w:rsidTr="00D053E1">
        <w:tc>
          <w:tcPr>
            <w:tcW w:w="2841" w:type="dxa"/>
          </w:tcPr>
          <w:p w:rsidR="005B593E" w:rsidRPr="005B593E" w:rsidRDefault="005B593E" w:rsidP="00A72287">
            <w:pPr>
              <w:spacing w:after="0"/>
              <w:jc w:val="both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val="uk-UA" w:eastAsia="uk-UA"/>
              </w:rPr>
              <w:t>Рівень поінформованості суб'єктів господарювання та/або фізичних осіб з основних положень акта</w:t>
            </w: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7029" w:type="dxa"/>
            <w:gridSpan w:val="7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Всі суб’єкти малого підприємництва проінформовані про рішення Знам’янської ради шляхом опублікування його в газеті "</w:t>
            </w:r>
            <w:proofErr w:type="spellStart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 xml:space="preserve"> вісті" та на офіційному сайті  міської ради</w:t>
            </w:r>
            <w:r w:rsidRPr="005B593E">
              <w:rPr>
                <w:rFonts w:ascii="Times New Roman" w:eastAsia="Batang" w:hAnsi="Times New Roman"/>
                <w:sz w:val="18"/>
                <w:szCs w:val="18"/>
                <w:lang w:val="uk-UA"/>
              </w:rPr>
              <w:t>.</w:t>
            </w: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</w:tc>
      </w:tr>
      <w:tr w:rsidR="005B593E" w:rsidRPr="00A72287" w:rsidTr="005B593E">
        <w:tc>
          <w:tcPr>
            <w:tcW w:w="2841" w:type="dxa"/>
          </w:tcPr>
          <w:p w:rsidR="005B593E" w:rsidRPr="005B593E" w:rsidRDefault="005B593E" w:rsidP="00A72287">
            <w:pPr>
              <w:spacing w:after="0"/>
              <w:jc w:val="both"/>
              <w:rPr>
                <w:rFonts w:ascii="Arial" w:eastAsia="Batang" w:hAnsi="Arial" w:cs="Arial"/>
                <w:sz w:val="18"/>
                <w:szCs w:val="18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val="uk-UA" w:eastAsia="uk-UA"/>
              </w:rPr>
              <w:lastRenderedPageBreak/>
              <w:t>Кількість суб'єктів малого підприємництва, що використовують спрощену систему оподаткування</w:t>
            </w:r>
            <w:r w:rsidRPr="005B593E">
              <w:rPr>
                <w:rFonts w:ascii="Times New Roman" w:eastAsia="Batang" w:hAnsi="Times New Roman"/>
                <w:color w:val="000000"/>
                <w:kern w:val="24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811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110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</w:tc>
        <w:tc>
          <w:tcPr>
            <w:tcW w:w="1016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851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</w:tc>
        <w:tc>
          <w:tcPr>
            <w:tcW w:w="992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436</w:t>
            </w:r>
          </w:p>
        </w:tc>
        <w:tc>
          <w:tcPr>
            <w:tcW w:w="1003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</w:tc>
        <w:tc>
          <w:tcPr>
            <w:tcW w:w="1246" w:type="dxa"/>
          </w:tcPr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</w:p>
          <w:p w:rsidR="005B593E" w:rsidRPr="005B593E" w:rsidRDefault="005B593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</w:pPr>
            <w:r w:rsidRPr="005B593E">
              <w:rPr>
                <w:rFonts w:ascii="Times New Roman" w:eastAsia="Batang" w:hAnsi="Times New Roman"/>
                <w:color w:val="000000"/>
                <w:spacing w:val="1"/>
                <w:sz w:val="18"/>
                <w:szCs w:val="18"/>
                <w:shd w:val="clear" w:color="auto" w:fill="FFFFFF"/>
                <w:lang w:val="uk-UA" w:eastAsia="uk-UA"/>
              </w:rPr>
              <w:t>436</w:t>
            </w:r>
          </w:p>
        </w:tc>
      </w:tr>
    </w:tbl>
    <w:p w:rsidR="00892F52" w:rsidRPr="00892F52" w:rsidRDefault="00892F52" w:rsidP="00892F5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  <w:r w:rsidRPr="008E47E4">
        <w:rPr>
          <w:rFonts w:ascii="Times New Roman" w:hAnsi="Times New Roman"/>
          <w:b/>
          <w:sz w:val="24"/>
          <w:szCs w:val="24"/>
          <w:lang w:val="uk-UA"/>
        </w:rPr>
        <w:t>9. Оцінка результатів реалізації регуляторного акту та ступеня досягнення визначених цілей: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E47E4"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 xml:space="preserve">ожна зробити висновок, що прийняття регуляторного акту – рішення </w:t>
      </w:r>
      <w:proofErr w:type="spellStart"/>
      <w:r w:rsidRPr="00CF56F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F56FA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5C78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18.06.2021р. №2450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«Про встановлення єдиного податку для першої та другої груп платників єдиного податку на території </w:t>
      </w:r>
      <w:proofErr w:type="spellStart"/>
      <w:r w:rsidRPr="00C50B38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Pr="00C50B38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несе позитивний результат</w:t>
      </w:r>
      <w:r w:rsidRPr="00CF56FA">
        <w:rPr>
          <w:rFonts w:ascii="Times New Roman" w:hAnsi="Times New Roman"/>
          <w:sz w:val="24"/>
          <w:szCs w:val="24"/>
          <w:lang w:val="uk-UA"/>
        </w:rPr>
        <w:t>.</w:t>
      </w:r>
    </w:p>
    <w:p w:rsidR="00892F52" w:rsidRDefault="00892F52" w:rsidP="00B57C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92F52" w:rsidRDefault="00892F52" w:rsidP="00B57C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57CE0" w:rsidRPr="002574DA" w:rsidRDefault="00B57CE0" w:rsidP="00B57C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 w:rsidRPr="002574DA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B57CE0" w:rsidRPr="002574DA" w:rsidRDefault="00B57CE0" w:rsidP="00B57C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B57CE0" w:rsidRPr="00DC3BC6" w:rsidRDefault="00B57CE0" w:rsidP="00B57CE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B57CE0" w:rsidRPr="00DC3BC6" w:rsidRDefault="00B57CE0" w:rsidP="00B57CE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B57CE0" w:rsidRPr="00FE7EA2" w:rsidRDefault="00B57CE0" w:rsidP="00B57CE0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B57CE0" w:rsidRPr="00FE7EA2" w:rsidRDefault="00B57CE0" w:rsidP="00B57CE0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FE7EA2">
        <w:rPr>
          <w:rFonts w:ascii="Times New Roman" w:hAnsi="Times New Roman"/>
          <w:lang w:val="uk-UA"/>
        </w:rPr>
        <w:t>вик.Оксана</w:t>
      </w:r>
      <w:proofErr w:type="spellEnd"/>
      <w:r w:rsidRPr="00FE7EA2">
        <w:rPr>
          <w:rFonts w:ascii="Times New Roman" w:hAnsi="Times New Roman"/>
          <w:lang w:val="uk-UA"/>
        </w:rPr>
        <w:t xml:space="preserve"> ГОЛІКОВА</w:t>
      </w:r>
    </w:p>
    <w:p w:rsidR="00B57CE0" w:rsidRPr="00B74BFF" w:rsidRDefault="00B57CE0" w:rsidP="00B57CE0">
      <w:pPr>
        <w:spacing w:after="0" w:line="240" w:lineRule="auto"/>
        <w:rPr>
          <w:rFonts w:ascii="Times New Roman" w:hAnsi="Times New Roma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E222FF" w:rsidRPr="00736DE1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3262B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D0297"/>
    <w:rsid w:val="001F39D0"/>
    <w:rsid w:val="00200A9A"/>
    <w:rsid w:val="00203D35"/>
    <w:rsid w:val="00215564"/>
    <w:rsid w:val="002316C6"/>
    <w:rsid w:val="00252485"/>
    <w:rsid w:val="00286A73"/>
    <w:rsid w:val="002979A1"/>
    <w:rsid w:val="002C17BB"/>
    <w:rsid w:val="002D2B83"/>
    <w:rsid w:val="002E1AD1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B1D52"/>
    <w:rsid w:val="003C314A"/>
    <w:rsid w:val="003E1D49"/>
    <w:rsid w:val="003E4CFD"/>
    <w:rsid w:val="004258AA"/>
    <w:rsid w:val="00427F56"/>
    <w:rsid w:val="00466AEA"/>
    <w:rsid w:val="00485897"/>
    <w:rsid w:val="00497971"/>
    <w:rsid w:val="004A0529"/>
    <w:rsid w:val="004C6B01"/>
    <w:rsid w:val="0051242F"/>
    <w:rsid w:val="0058274D"/>
    <w:rsid w:val="0059051E"/>
    <w:rsid w:val="005B593E"/>
    <w:rsid w:val="005D118B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92F52"/>
    <w:rsid w:val="008F01B4"/>
    <w:rsid w:val="0092112E"/>
    <w:rsid w:val="009429CC"/>
    <w:rsid w:val="00944B5A"/>
    <w:rsid w:val="00972EAD"/>
    <w:rsid w:val="00975543"/>
    <w:rsid w:val="009B50BE"/>
    <w:rsid w:val="009B54C8"/>
    <w:rsid w:val="009D002C"/>
    <w:rsid w:val="009D7195"/>
    <w:rsid w:val="00A054EC"/>
    <w:rsid w:val="00A1490F"/>
    <w:rsid w:val="00A16EE5"/>
    <w:rsid w:val="00A22321"/>
    <w:rsid w:val="00A446DB"/>
    <w:rsid w:val="00A72287"/>
    <w:rsid w:val="00A867F9"/>
    <w:rsid w:val="00AE7C0E"/>
    <w:rsid w:val="00B41733"/>
    <w:rsid w:val="00B56F0B"/>
    <w:rsid w:val="00B57CE0"/>
    <w:rsid w:val="00B74BFF"/>
    <w:rsid w:val="00B85953"/>
    <w:rsid w:val="00B9693E"/>
    <w:rsid w:val="00BB7152"/>
    <w:rsid w:val="00C06CC5"/>
    <w:rsid w:val="00C07FC9"/>
    <w:rsid w:val="00C50B38"/>
    <w:rsid w:val="00C62D22"/>
    <w:rsid w:val="00C670B2"/>
    <w:rsid w:val="00C8323C"/>
    <w:rsid w:val="00CA1ADB"/>
    <w:rsid w:val="00CB7E83"/>
    <w:rsid w:val="00D25CFB"/>
    <w:rsid w:val="00D3120B"/>
    <w:rsid w:val="00D5148A"/>
    <w:rsid w:val="00D953B8"/>
    <w:rsid w:val="00DB1039"/>
    <w:rsid w:val="00DB57D0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EE6C0C"/>
    <w:rsid w:val="00F25B0A"/>
    <w:rsid w:val="00F44294"/>
    <w:rsid w:val="00F71831"/>
    <w:rsid w:val="00F74B50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14</cp:revision>
  <cp:lastPrinted>2021-10-23T08:32:00Z</cp:lastPrinted>
  <dcterms:created xsi:type="dcterms:W3CDTF">2021-09-23T06:17:00Z</dcterms:created>
  <dcterms:modified xsi:type="dcterms:W3CDTF">2021-10-23T08:32:00Z</dcterms:modified>
</cp:coreProperties>
</file>