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EDD" w:rsidRDefault="00F17EDD" w:rsidP="00F17EDD">
      <w:pPr>
        <w:overflowPunct w:val="0"/>
        <w:autoSpaceDE w:val="0"/>
        <w:autoSpaceDN w:val="0"/>
        <w:adjustRightInd w:val="0"/>
        <w:spacing w:after="0" w:line="240" w:lineRule="auto"/>
        <w:ind w:firstLine="567"/>
        <w:jc w:val="center"/>
        <w:rPr>
          <w:rFonts w:ascii="Times New Roman" w:eastAsia="Calibri" w:hAnsi="Times New Roman" w:cs="Times New Roman"/>
          <w:b/>
          <w:bCs/>
          <w:sz w:val="24"/>
          <w:szCs w:val="24"/>
          <w:lang w:val="uk-UA"/>
        </w:rPr>
      </w:pPr>
      <w:r>
        <w:rPr>
          <w:rFonts w:ascii="Times New Roman" w:eastAsia="Calibri" w:hAnsi="Times New Roman" w:cs="Times New Roman"/>
          <w:b/>
          <w:bCs/>
          <w:sz w:val="24"/>
          <w:szCs w:val="24"/>
          <w:lang w:val="uk-UA"/>
        </w:rPr>
        <w:t xml:space="preserve">Довідка про підсумки роботи із зверненнями громадян, що надійшли </w:t>
      </w:r>
    </w:p>
    <w:p w:rsidR="00F17EDD" w:rsidRDefault="00F17EDD" w:rsidP="00F17EDD">
      <w:pPr>
        <w:overflowPunct w:val="0"/>
        <w:autoSpaceDE w:val="0"/>
        <w:autoSpaceDN w:val="0"/>
        <w:adjustRightInd w:val="0"/>
        <w:spacing w:after="0" w:line="240" w:lineRule="auto"/>
        <w:ind w:firstLine="567"/>
        <w:jc w:val="center"/>
        <w:rPr>
          <w:rFonts w:ascii="Times New Roman" w:eastAsia="Calibri" w:hAnsi="Times New Roman" w:cs="Times New Roman"/>
          <w:b/>
          <w:bCs/>
          <w:sz w:val="24"/>
          <w:szCs w:val="24"/>
          <w:lang w:val="uk-UA"/>
        </w:rPr>
      </w:pPr>
      <w:r>
        <w:rPr>
          <w:rFonts w:ascii="Times New Roman" w:eastAsia="Calibri" w:hAnsi="Times New Roman" w:cs="Times New Roman"/>
          <w:b/>
          <w:bCs/>
          <w:sz w:val="24"/>
          <w:szCs w:val="24"/>
          <w:lang w:val="uk-UA"/>
        </w:rPr>
        <w:t xml:space="preserve">до виконавчого комітету Знам’янської міської ради </w:t>
      </w:r>
    </w:p>
    <w:p w:rsidR="00F17EDD" w:rsidRDefault="00F17EDD" w:rsidP="00F17EDD">
      <w:pPr>
        <w:overflowPunct w:val="0"/>
        <w:autoSpaceDE w:val="0"/>
        <w:autoSpaceDN w:val="0"/>
        <w:adjustRightInd w:val="0"/>
        <w:spacing w:after="0" w:line="240" w:lineRule="auto"/>
        <w:ind w:firstLine="567"/>
        <w:jc w:val="center"/>
        <w:rPr>
          <w:rFonts w:ascii="Times New Roman" w:eastAsia="Calibri" w:hAnsi="Times New Roman" w:cs="Times New Roman"/>
          <w:b/>
          <w:bCs/>
          <w:sz w:val="24"/>
          <w:szCs w:val="24"/>
          <w:lang w:val="uk-UA"/>
        </w:rPr>
      </w:pPr>
      <w:r>
        <w:rPr>
          <w:rFonts w:ascii="Times New Roman" w:eastAsia="Calibri" w:hAnsi="Times New Roman" w:cs="Times New Roman"/>
          <w:b/>
          <w:bCs/>
          <w:sz w:val="24"/>
          <w:szCs w:val="24"/>
          <w:lang w:val="uk-UA"/>
        </w:rPr>
        <w:t>протягом І півріччя 2020 року.</w:t>
      </w:r>
    </w:p>
    <w:p w:rsidR="00F17EDD" w:rsidRDefault="00F17EDD" w:rsidP="00F17EDD">
      <w:pPr>
        <w:overflowPunct w:val="0"/>
        <w:autoSpaceDE w:val="0"/>
        <w:autoSpaceDN w:val="0"/>
        <w:adjustRightInd w:val="0"/>
        <w:spacing w:after="0" w:line="240" w:lineRule="auto"/>
        <w:ind w:firstLine="567"/>
        <w:jc w:val="center"/>
        <w:rPr>
          <w:rFonts w:ascii="Times New Roman" w:eastAsia="Calibri" w:hAnsi="Times New Roman" w:cs="Times New Roman"/>
          <w:b/>
          <w:bCs/>
          <w:sz w:val="24"/>
          <w:szCs w:val="24"/>
          <w:lang w:val="uk-UA"/>
        </w:rPr>
      </w:pPr>
    </w:p>
    <w:p w:rsidR="00F17EDD" w:rsidRDefault="00F17EDD" w:rsidP="00314A27">
      <w:pPr>
        <w:overflowPunct w:val="0"/>
        <w:autoSpaceDE w:val="0"/>
        <w:autoSpaceDN w:val="0"/>
        <w:adjustRightInd w:val="0"/>
        <w:spacing w:after="0" w:line="240" w:lineRule="auto"/>
        <w:ind w:left="-142" w:firstLine="709"/>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Протягом І півріччя 2020 року до виконавчого комітету Знам`янської міської ради надійшло 756 звернень громадян (у відповідний період 2019 року – 1078). </w:t>
      </w:r>
      <w:r>
        <w:rPr>
          <w:noProof/>
          <w:lang w:eastAsia="ru-RU"/>
        </w:rPr>
        <w:drawing>
          <wp:inline distT="0" distB="0" distL="0" distR="0">
            <wp:extent cx="4762918" cy="3466682"/>
            <wp:effectExtent l="0" t="0" r="0" b="63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Start w:id="0" w:name="_GoBack"/>
      <w:bookmarkEnd w:id="0"/>
    </w:p>
    <w:p w:rsidR="00F17EDD" w:rsidRDefault="00F17EDD" w:rsidP="00F17EDD">
      <w:p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З</w:t>
      </w:r>
      <w:r>
        <w:rPr>
          <w:rFonts w:ascii="Times New Roman" w:eastAsia="Times New Roman" w:hAnsi="Times New Roman" w:cs="Times New Roman"/>
          <w:iCs/>
          <w:sz w:val="24"/>
          <w:szCs w:val="24"/>
          <w:lang w:val="uk-UA" w:eastAsia="uk-UA"/>
        </w:rPr>
        <w:t>меншення звернень громадян відбулося у зв’язку з поширення коронавірусної інфекції.</w:t>
      </w:r>
      <w:r>
        <w:rPr>
          <w:rFonts w:ascii="Times New Roman" w:eastAsia="Calibri" w:hAnsi="Times New Roman" w:cs="Times New Roman"/>
          <w:sz w:val="24"/>
          <w:szCs w:val="24"/>
          <w:lang w:val="uk-UA"/>
        </w:rPr>
        <w:t xml:space="preserve"> </w:t>
      </w:r>
      <w:r>
        <w:rPr>
          <w:rFonts w:ascii="Times New Roman" w:eastAsia="Times New Roman" w:hAnsi="Times New Roman" w:cs="Times New Roman"/>
          <w:sz w:val="24"/>
          <w:szCs w:val="24"/>
          <w:lang w:val="uk-UA" w:eastAsia="uk-UA"/>
        </w:rPr>
        <w:t xml:space="preserve">Відповідно до Постанови Кабінету Міністрів України від 20.05.2020 р. № 392 (зі змінами) «Про запобігання поширенню на території України гострої респіраторної хвороби </w:t>
      </w:r>
      <w:r>
        <w:rPr>
          <w:rFonts w:ascii="Times New Roman" w:eastAsia="Times New Roman" w:hAnsi="Times New Roman" w:cs="Times New Roman"/>
          <w:sz w:val="24"/>
          <w:szCs w:val="24"/>
          <w:lang w:val="en-US" w:eastAsia="uk-UA"/>
        </w:rPr>
        <w:t>COVID</w:t>
      </w:r>
      <w:r>
        <w:rPr>
          <w:rFonts w:ascii="Times New Roman" w:eastAsia="Times New Roman" w:hAnsi="Times New Roman" w:cs="Times New Roman"/>
          <w:sz w:val="24"/>
          <w:szCs w:val="24"/>
          <w:lang w:val="uk-UA" w:eastAsia="uk-UA"/>
        </w:rPr>
        <w:t xml:space="preserve">-19, спричиненої </w:t>
      </w:r>
      <w:proofErr w:type="spellStart"/>
      <w:r>
        <w:rPr>
          <w:rFonts w:ascii="Times New Roman" w:eastAsia="Times New Roman" w:hAnsi="Times New Roman" w:cs="Times New Roman"/>
          <w:sz w:val="24"/>
          <w:szCs w:val="24"/>
          <w:lang w:val="uk-UA" w:eastAsia="uk-UA"/>
        </w:rPr>
        <w:t>короновірусом</w:t>
      </w:r>
      <w:proofErr w:type="spellEnd"/>
      <w:r>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en-US" w:eastAsia="uk-UA"/>
        </w:rPr>
        <w:t>SARS</w:t>
      </w:r>
      <w:r>
        <w:rPr>
          <w:rFonts w:ascii="Times New Roman" w:eastAsia="Times New Roman" w:hAnsi="Times New Roman" w:cs="Times New Roman"/>
          <w:sz w:val="24"/>
          <w:szCs w:val="24"/>
          <w:lang w:val="uk-UA" w:eastAsia="uk-UA"/>
        </w:rPr>
        <w:t>-</w:t>
      </w:r>
      <w:proofErr w:type="spellStart"/>
      <w:r>
        <w:rPr>
          <w:rFonts w:ascii="Times New Roman" w:eastAsia="Times New Roman" w:hAnsi="Times New Roman" w:cs="Times New Roman"/>
          <w:sz w:val="24"/>
          <w:szCs w:val="24"/>
          <w:lang w:val="en-US" w:eastAsia="uk-UA"/>
        </w:rPr>
        <w:t>CoV</w:t>
      </w:r>
      <w:proofErr w:type="spellEnd"/>
      <w:r>
        <w:rPr>
          <w:rFonts w:ascii="Times New Roman" w:eastAsia="Times New Roman" w:hAnsi="Times New Roman" w:cs="Times New Roman"/>
          <w:sz w:val="24"/>
          <w:szCs w:val="24"/>
          <w:lang w:val="uk-UA" w:eastAsia="uk-UA"/>
        </w:rPr>
        <w:t>-2», на усій території України введено карантин.</w:t>
      </w:r>
      <w:r>
        <w:rPr>
          <w:rStyle w:val="a3"/>
          <w:lang w:val="uk-UA"/>
        </w:rPr>
        <w:t xml:space="preserve"> </w:t>
      </w:r>
      <w:r>
        <w:rPr>
          <w:rStyle w:val="ae"/>
          <w:sz w:val="24"/>
          <w:szCs w:val="24"/>
          <w:lang w:val="uk-UA"/>
        </w:rPr>
        <w:t xml:space="preserve">Тому </w:t>
      </w:r>
      <w:r>
        <w:rPr>
          <w:rFonts w:ascii="Times New Roman" w:eastAsia="Times New Roman" w:hAnsi="Times New Roman" w:cs="Times New Roman"/>
          <w:sz w:val="24"/>
          <w:szCs w:val="24"/>
          <w:lang w:val="uk-UA" w:eastAsia="ru-RU"/>
        </w:rPr>
        <w:t>в умовах карантину, в межах чинного законодавства, здійснювався прийом громадян в обмеженому доступі: за попереднім записом, в телефонному режимі, через засоби електронного обміну та шляхом листування.</w:t>
      </w:r>
    </w:p>
    <w:p w:rsidR="00F17EDD" w:rsidRDefault="00F17EDD" w:rsidP="00F17EDD">
      <w:p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З них 504 звернення надійшло поштою (у відповідний період 2019 року – 702). </w:t>
      </w:r>
    </w:p>
    <w:p w:rsidR="00F17EDD" w:rsidRDefault="00F17EDD" w:rsidP="00F17EDD">
      <w:p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На особистих прийомах міського голови звернулось 41 громадянин (у відповідний період 2019 року – 62).</w:t>
      </w:r>
    </w:p>
    <w:p w:rsidR="00F17EDD" w:rsidRDefault="00F17EDD" w:rsidP="00F17EDD">
      <w:p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Через органи вищого рівня протягом звітного періоду надійшло:</w:t>
      </w:r>
    </w:p>
    <w:p w:rsidR="00F17EDD" w:rsidRDefault="00F17EDD" w:rsidP="00F17EDD">
      <w:pPr>
        <w:numPr>
          <w:ilvl w:val="0"/>
          <w:numId w:val="14"/>
        </w:num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через Кіровоградську ОДА – 13;</w:t>
      </w:r>
    </w:p>
    <w:p w:rsidR="00F17EDD" w:rsidRDefault="00F17EDD" w:rsidP="00F17EDD">
      <w:pPr>
        <w:numPr>
          <w:ilvl w:val="0"/>
          <w:numId w:val="14"/>
        </w:num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через Обласний контактний центр та Урядову гарячу лінію – 198;</w:t>
      </w:r>
    </w:p>
    <w:p w:rsidR="00F17EDD" w:rsidRDefault="00F17EDD" w:rsidP="00F17EDD">
      <w:pPr>
        <w:overflowPunct w:val="0"/>
        <w:autoSpaceDE w:val="0"/>
        <w:autoSpaceDN w:val="0"/>
        <w:adjustRightInd w:val="0"/>
        <w:spacing w:after="0" w:line="240" w:lineRule="auto"/>
        <w:jc w:val="both"/>
        <w:rPr>
          <w:rFonts w:ascii="Times New Roman" w:eastAsia="Calibri" w:hAnsi="Times New Roman" w:cs="Times New Roman"/>
          <w:sz w:val="24"/>
          <w:szCs w:val="24"/>
          <w:lang w:val="uk-UA"/>
        </w:rPr>
      </w:pPr>
    </w:p>
    <w:p w:rsidR="00F17EDD" w:rsidRDefault="00F17EDD" w:rsidP="00F17EDD">
      <w:pPr>
        <w:overflowPunct w:val="0"/>
        <w:autoSpaceDE w:val="0"/>
        <w:autoSpaceDN w:val="0"/>
        <w:adjustRightInd w:val="0"/>
        <w:spacing w:after="0" w:line="240" w:lineRule="auto"/>
        <w:jc w:val="center"/>
        <w:rPr>
          <w:rFonts w:ascii="Times New Roman" w:eastAsia="Calibri" w:hAnsi="Times New Roman" w:cs="Times New Roman"/>
          <w:sz w:val="24"/>
          <w:szCs w:val="24"/>
          <w:lang w:val="uk-UA"/>
        </w:rPr>
      </w:pPr>
      <w:r>
        <w:rPr>
          <w:noProof/>
          <w:lang w:eastAsia="ru-RU"/>
        </w:rPr>
        <w:drawing>
          <wp:inline distT="0" distB="0" distL="0" distR="0">
            <wp:extent cx="5305529" cy="2934119"/>
            <wp:effectExtent l="0" t="0" r="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17EDD" w:rsidRDefault="00F17EDD" w:rsidP="00F17EDD">
      <w:p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lastRenderedPageBreak/>
        <w:t>Кількість колективних звернень протягом звітного періоду – 35 (у відповідний період 2019 року – 41), анонімних звернень – 3 (у відповідний період 2019 року – 3).</w:t>
      </w:r>
    </w:p>
    <w:p w:rsidR="00F17EDD" w:rsidRDefault="00F17EDD" w:rsidP="00F17EDD">
      <w:p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Кількість громадян, які звернулися – 1203 (у відповідний період 2019 року – 1729).</w:t>
      </w:r>
    </w:p>
    <w:p w:rsidR="00F17EDD" w:rsidRDefault="00F17EDD" w:rsidP="00F17EDD">
      <w:pPr>
        <w:overflowPunct w:val="0"/>
        <w:autoSpaceDE w:val="0"/>
        <w:autoSpaceDN w:val="0"/>
        <w:adjustRightInd w:val="0"/>
        <w:spacing w:after="0" w:line="240" w:lineRule="auto"/>
        <w:ind w:left="-142"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Кількість повторних звернень – 0 (у відповідний період 2019 року – 15).</w:t>
      </w:r>
    </w:p>
    <w:p w:rsidR="00F17EDD" w:rsidRDefault="00F17EDD" w:rsidP="00F17EDD">
      <w:pPr>
        <w:autoSpaceDN w:val="0"/>
        <w:spacing w:after="0" w:line="240" w:lineRule="auto"/>
        <w:ind w:left="-142" w:firstLine="709"/>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Основні питання, що порушувались у зверненнях громадян протягом І півріччя 2020 року згідно з Класифікатором звернень громадян:</w:t>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020 – аграрна політика і земельні відносини - 95 (за відповідний період 2019 року – 82); </w:t>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030 – транспорт і зв`язок – 10 (за відповідний період 2019 року – 13); </w:t>
      </w:r>
    </w:p>
    <w:p w:rsidR="00F17EDD" w:rsidRDefault="00F17EDD" w:rsidP="00F17EDD">
      <w:pPr>
        <w:overflowPunct w:val="0"/>
        <w:autoSpaceDE w:val="0"/>
        <w:autoSpaceDN w:val="0"/>
        <w:adjustRightInd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040 – економічна, цінова, інвестиційна, зовнішньоекономічна, регіональна політика та будівництво, підприємництво – 27 (за відповідний період 2019 року – 23); </w:t>
      </w:r>
    </w:p>
    <w:p w:rsidR="00F17EDD" w:rsidRDefault="00F17EDD" w:rsidP="00F17EDD">
      <w:pPr>
        <w:overflowPunct w:val="0"/>
        <w:autoSpaceDE w:val="0"/>
        <w:autoSpaceDN w:val="0"/>
        <w:adjustRightInd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050 – фінансова, податкова, митна політика – 1 (за відповідний період 2019 року – 10);</w:t>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060 – соціальна політика, соціальний захист - 328 (за відповідний період 2019 року -505);</w:t>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070 – праця і заробітна плата – 58 (за відповідний період 2019 року – 60);</w:t>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090 – охорона здоров’я – 63 (за відповідний період 2019 року – 38);</w:t>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100 – комунальне господарство – 86 (за відповідний період 2019 року – 228);</w:t>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110 – житлова політика – 25 (за відповідний період 2019 року – 49);</w:t>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120 – екологія та природні ресурси – 4 (за відповідний період 2019 року – 6);</w:t>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130 – забезпечення дотримання законності та охорони правопорядку, реалізації прав і свобод громадян, запобігання дискримінації – 13 (за відповідний період 2019 року – 10);</w:t>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140 – сімейна та гендерна політика, захист прав дітей – 9 (за відповідний період</w:t>
      </w:r>
      <w:r>
        <w:rPr>
          <w:rFonts w:ascii="Times New Roman" w:eastAsia="Calibri" w:hAnsi="Times New Roman" w:cs="Times New Roman"/>
          <w:sz w:val="24"/>
          <w:szCs w:val="24"/>
          <w:lang w:val="uk-UA" w:eastAsia="ru-RU"/>
        </w:rPr>
        <w:br/>
        <w:t>2019 року – 18);</w:t>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150 – молодь, фізична культура і спорт – 0 (за відповідний період 2019 року – 5);</w:t>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160 – культура та культурна спадщина, туризм – 1 (за відповідний період 2019 року – 3);</w:t>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170 – освіта, наукова, науково-технічна, інноваційна діяльність та інтелектуальна власність – 1 (за відповідний період 2019 року – 9);</w:t>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180 – інформаційна політика, діяльність засобів масової інформації – 1 (за відповідний період 2019 року – 2);</w:t>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190 – діяльність об’єднань громадян, релігія та міжконфесійні відносини – 0 (за відповідний період 2019 року – 1); </w:t>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230 – діяльність органів місцевого самоврядування - 2 (за відповідний період 2019 року - 2);</w:t>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270 – інше – 39 (за відповідний період 2019 року – 32).</w:t>
      </w:r>
      <w:r>
        <w:rPr>
          <w:rFonts w:ascii="Times New Roman" w:eastAsia="Calibri" w:hAnsi="Times New Roman" w:cs="Times New Roman"/>
          <w:sz w:val="24"/>
          <w:szCs w:val="24"/>
          <w:lang w:val="uk-UA" w:eastAsia="ru-RU"/>
        </w:rPr>
        <w:tab/>
      </w:r>
    </w:p>
    <w:p w:rsidR="00F17EDD" w:rsidRDefault="00F17EDD" w:rsidP="00F17EDD">
      <w:pPr>
        <w:autoSpaceDN w:val="0"/>
        <w:spacing w:after="0" w:line="240" w:lineRule="auto"/>
        <w:ind w:left="-142"/>
        <w:jc w:val="both"/>
        <w:rPr>
          <w:rFonts w:ascii="Times New Roman" w:eastAsia="Calibri" w:hAnsi="Times New Roman" w:cs="Times New Roman"/>
          <w:sz w:val="24"/>
          <w:szCs w:val="24"/>
          <w:lang w:val="uk-UA" w:eastAsia="ru-RU"/>
        </w:rPr>
      </w:pPr>
    </w:p>
    <w:p w:rsidR="00F17EDD" w:rsidRDefault="00F17EDD" w:rsidP="00F17EDD">
      <w:pPr>
        <w:autoSpaceDN w:val="0"/>
        <w:spacing w:after="0" w:line="240" w:lineRule="auto"/>
        <w:ind w:left="-1276"/>
        <w:jc w:val="both"/>
        <w:rPr>
          <w:rFonts w:ascii="Times New Roman" w:eastAsia="Calibri" w:hAnsi="Times New Roman" w:cs="Times New Roman"/>
          <w:sz w:val="24"/>
          <w:szCs w:val="24"/>
          <w:lang w:val="uk-UA" w:eastAsia="ru-RU"/>
        </w:rPr>
      </w:pPr>
      <w:r>
        <w:rPr>
          <w:noProof/>
          <w:lang w:eastAsia="ru-RU"/>
        </w:rPr>
        <w:drawing>
          <wp:inline distT="0" distB="0" distL="0" distR="0">
            <wp:extent cx="7044055" cy="4371340"/>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i/>
          <w:sz w:val="24"/>
          <w:szCs w:val="24"/>
          <w:lang w:val="uk-UA" w:eastAsia="ru-RU"/>
        </w:rPr>
        <w:lastRenderedPageBreak/>
        <w:t xml:space="preserve">За соціальним станом авторів звернень: </w:t>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пенсіонерів – 177; </w:t>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робітників – 35;</w:t>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підприємців – 8;</w:t>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безробітних – 18;</w:t>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інших – 518.</w:t>
      </w:r>
    </w:p>
    <w:p w:rsidR="00F17EDD" w:rsidRDefault="00F17EDD" w:rsidP="00F17EDD">
      <w:pPr>
        <w:autoSpaceDN w:val="0"/>
        <w:spacing w:after="0" w:line="240" w:lineRule="auto"/>
        <w:jc w:val="both"/>
        <w:rPr>
          <w:rFonts w:ascii="Times New Roman" w:eastAsia="Calibri" w:hAnsi="Times New Roman" w:cs="Times New Roman"/>
          <w:i/>
          <w:sz w:val="24"/>
          <w:szCs w:val="24"/>
          <w:lang w:val="uk-UA" w:eastAsia="ru-RU"/>
        </w:rPr>
      </w:pPr>
      <w:r>
        <w:rPr>
          <w:noProof/>
          <w:lang w:eastAsia="ru-RU"/>
        </w:rPr>
        <w:drawing>
          <wp:inline distT="0" distB="0" distL="0" distR="0">
            <wp:extent cx="5265420" cy="2853690"/>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17EDD" w:rsidRDefault="00F17EDD" w:rsidP="00F17EDD">
      <w:pPr>
        <w:autoSpaceDN w:val="0"/>
        <w:spacing w:after="0" w:line="240" w:lineRule="auto"/>
        <w:jc w:val="center"/>
        <w:rPr>
          <w:rFonts w:ascii="Times New Roman" w:eastAsia="Calibri" w:hAnsi="Times New Roman" w:cs="Times New Roman"/>
          <w:b/>
          <w:sz w:val="24"/>
          <w:szCs w:val="24"/>
          <w:lang w:val="uk-UA" w:eastAsia="ru-RU"/>
        </w:rPr>
      </w:pPr>
      <w:r>
        <w:rPr>
          <w:rFonts w:ascii="Times New Roman" w:eastAsia="Calibri" w:hAnsi="Times New Roman" w:cs="Times New Roman"/>
          <w:b/>
          <w:i/>
          <w:sz w:val="24"/>
          <w:szCs w:val="24"/>
          <w:lang w:val="uk-UA" w:eastAsia="ru-RU"/>
        </w:rPr>
        <w:t>За категоріями авторів звернень:</w:t>
      </w:r>
    </w:p>
    <w:p w:rsidR="00F17EDD" w:rsidRDefault="00F17EDD" w:rsidP="00F17EDD">
      <w:pPr>
        <w:spacing w:after="0" w:line="240" w:lineRule="auto"/>
        <w:rPr>
          <w:rFonts w:ascii="Times New Roman" w:eastAsia="Calibri" w:hAnsi="Times New Roman" w:cs="Times New Roman"/>
          <w:sz w:val="24"/>
          <w:szCs w:val="24"/>
          <w:lang w:val="uk-UA" w:eastAsia="ru-RU"/>
        </w:rPr>
        <w:sectPr w:rsidR="00F17EDD" w:rsidSect="00F17EDD">
          <w:type w:val="continuous"/>
          <w:pgSz w:w="11906" w:h="16838"/>
          <w:pgMar w:top="426" w:right="851" w:bottom="284" w:left="1701" w:header="709" w:footer="709" w:gutter="0"/>
          <w:pgNumType w:start="1"/>
          <w:cols w:space="720"/>
        </w:sectPr>
      </w:pP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lastRenderedPageBreak/>
        <w:t>- учасників війни – 1;</w:t>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дітей війни – 5;</w:t>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учасників бойових дій – 7;</w:t>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ветеранів праці – 7;</w:t>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осіб з інвалідністю І групи – 24;</w:t>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осіб з інвалідністю ІІ групи – 28;</w:t>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осіб з інвалідністю ІІІ групи – 26;</w:t>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одиноких матерів – 9;</w:t>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матерів героїнь - 1;</w:t>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багатодітних сімей – 5; </w:t>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учасників ліквідації наслідків аварії на ЧАЕС – 3;</w:t>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інших категорій – 640. </w:t>
      </w:r>
    </w:p>
    <w:p w:rsidR="00F17EDD" w:rsidRDefault="00F17EDD" w:rsidP="00F17EDD">
      <w:pPr>
        <w:spacing w:after="0" w:line="240" w:lineRule="auto"/>
        <w:rPr>
          <w:rFonts w:ascii="Times New Roman" w:eastAsia="Calibri" w:hAnsi="Times New Roman" w:cs="Times New Roman"/>
          <w:sz w:val="24"/>
          <w:szCs w:val="24"/>
          <w:lang w:val="uk-UA" w:eastAsia="ru-RU"/>
        </w:rPr>
        <w:sectPr w:rsidR="00F17EDD">
          <w:type w:val="continuous"/>
          <w:pgSz w:w="11906" w:h="16838"/>
          <w:pgMar w:top="426" w:right="851" w:bottom="284" w:left="1701" w:header="419" w:footer="709" w:gutter="0"/>
          <w:cols w:num="2" w:space="708"/>
        </w:sectPr>
      </w:pPr>
    </w:p>
    <w:p w:rsidR="00F17EDD" w:rsidRDefault="00F17EDD" w:rsidP="00F17EDD">
      <w:pPr>
        <w:autoSpaceDN w:val="0"/>
        <w:spacing w:after="0" w:line="240" w:lineRule="auto"/>
        <w:jc w:val="right"/>
        <w:rPr>
          <w:rFonts w:ascii="Times New Roman" w:eastAsia="Calibri" w:hAnsi="Times New Roman" w:cs="Times New Roman"/>
          <w:sz w:val="24"/>
          <w:szCs w:val="24"/>
          <w:lang w:val="uk-UA" w:eastAsia="ru-RU"/>
        </w:rPr>
      </w:pPr>
      <w:r>
        <w:rPr>
          <w:noProof/>
          <w:lang w:eastAsia="ru-RU"/>
        </w:rPr>
        <w:lastRenderedPageBreak/>
        <w:drawing>
          <wp:inline distT="0" distB="0" distL="0" distR="0">
            <wp:extent cx="6029325" cy="329565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Всі звернення розглянуті, дані відповідні доручення виконавцям. Найактуальнішими та пріоритетними питаннями були питання соціального захисту. Кількість звернень у яких порушено питання становить – 328 (у порівняні з 2019 роком – 505), це питання: надання матеріальної допомоги на лікування, соціально-побутові питання, призначення та виплати соціальної допомоги, субсидій, правильності їх нарахування та ін.</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Актуальними залишаються питання надання земельних ділянок, набуття права власності на землю, поновлення терміну дії оренди землі, надання дозволу на </w:t>
      </w:r>
      <w:r>
        <w:rPr>
          <w:rFonts w:ascii="Times New Roman" w:eastAsia="Calibri" w:hAnsi="Times New Roman" w:cs="Times New Roman"/>
          <w:sz w:val="24"/>
          <w:szCs w:val="24"/>
          <w:lang w:val="uk-UA" w:eastAsia="ru-RU"/>
        </w:rPr>
        <w:lastRenderedPageBreak/>
        <w:t xml:space="preserve">виготовлення проекту землеустрою. Питома вага звернень, у яких порушувались земельні питання становить 95 звернень (за відповідний період 2019 року надійшло - 82). </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Проведений аналіз звернень, які надійшли до виконавчого комітету, підтвердив актуальність питань житлово-комунального господарства, а саме: проведення ремонту житлових будинків, ремонту покрівель, під’їздів, відмосток, внутрішньо-будинкових мереж водопостачання та електропостачання, ремонт доріг та тротуарів, відновлення зовнішнього освітлення, санітарний стан прибудинкових територій та ін. Протягом І півріччя кількість таких звернень становила – 86 (у порівнянні з аналогічним періодом 2019 року – 228).</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p>
    <w:p w:rsidR="00F17EDD" w:rsidRDefault="00F17EDD" w:rsidP="00F17EDD">
      <w:pPr>
        <w:autoSpaceDN w:val="0"/>
        <w:spacing w:after="0" w:line="240" w:lineRule="auto"/>
        <w:rPr>
          <w:rFonts w:ascii="Times New Roman" w:eastAsia="Calibri" w:hAnsi="Times New Roman" w:cs="Times New Roman"/>
          <w:sz w:val="24"/>
          <w:szCs w:val="24"/>
          <w:lang w:val="uk-UA" w:eastAsia="ru-RU"/>
        </w:rPr>
      </w:pPr>
      <w:r>
        <w:rPr>
          <w:noProof/>
          <w:lang w:eastAsia="ru-RU"/>
        </w:rPr>
        <w:drawing>
          <wp:inline distT="0" distB="0" distL="0" distR="0">
            <wp:extent cx="5848350" cy="320548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Зверненням громадян приділяється належна увага. У кожному випадку заявникам надається допомога або вишукуються шляхи вирішення їх проблем, надаються аргументовані відповіді та роз`яснення. </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Всіх заявників обов`язково повідомляють письмово про результати розгляду їх звернень у терміни, визначені законодавством України.</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До управління соціального захисту населення надійшло 350 письмових звернень громадян. В зверненнях найчастіше мешканці міста порушували питання: надання матеріальної допомоги на лікування, придбання ліків; нарахування субсидій на житлово-комунальні послуги; призначення та виплата державних соціальних допомог; надання пільг за фактичним місцем проживання.</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В Центрі соціальних та компенсаційних виплат нараховується </w:t>
      </w:r>
      <w:r>
        <w:rPr>
          <w:rFonts w:ascii="Times New Roman" w:eastAsia="Calibri" w:hAnsi="Times New Roman" w:cs="Times New Roman"/>
          <w:sz w:val="24"/>
          <w:szCs w:val="24"/>
          <w:lang w:eastAsia="ru-RU"/>
        </w:rPr>
        <w:t xml:space="preserve">6257 </w:t>
      </w:r>
      <w:r>
        <w:rPr>
          <w:rFonts w:ascii="Times New Roman" w:eastAsia="Calibri" w:hAnsi="Times New Roman" w:cs="Times New Roman"/>
          <w:sz w:val="24"/>
          <w:szCs w:val="24"/>
          <w:lang w:val="uk-UA" w:eastAsia="ru-RU"/>
        </w:rPr>
        <w:t xml:space="preserve">отримувачів адресних допомог, в тому числі: адресних соціальних допомог – </w:t>
      </w:r>
      <w:r>
        <w:rPr>
          <w:rFonts w:ascii="Times New Roman" w:eastAsia="Calibri" w:hAnsi="Times New Roman" w:cs="Times New Roman"/>
          <w:sz w:val="24"/>
          <w:szCs w:val="24"/>
          <w:lang w:eastAsia="ru-RU"/>
        </w:rPr>
        <w:t>2337</w:t>
      </w:r>
      <w:r>
        <w:rPr>
          <w:rFonts w:ascii="Times New Roman" w:eastAsia="Calibri" w:hAnsi="Times New Roman" w:cs="Times New Roman"/>
          <w:sz w:val="24"/>
          <w:szCs w:val="24"/>
          <w:lang w:val="uk-UA" w:eastAsia="ru-RU"/>
        </w:rPr>
        <w:t xml:space="preserve">; субсидій </w:t>
      </w:r>
      <w:r>
        <w:rPr>
          <w:rFonts w:ascii="Times New Roman" w:eastAsia="Calibri" w:hAnsi="Times New Roman" w:cs="Times New Roman"/>
          <w:sz w:val="24"/>
          <w:szCs w:val="24"/>
          <w:lang w:eastAsia="ru-RU"/>
        </w:rPr>
        <w:t>-3595</w:t>
      </w:r>
      <w:r>
        <w:rPr>
          <w:rFonts w:ascii="Times New Roman" w:eastAsia="Calibri" w:hAnsi="Times New Roman" w:cs="Times New Roman"/>
          <w:sz w:val="24"/>
          <w:szCs w:val="24"/>
          <w:lang w:val="uk-UA" w:eastAsia="ru-RU"/>
        </w:rPr>
        <w:t xml:space="preserve">; компенсацій постраждалим внаслідок аварії на ЧАЕС – </w:t>
      </w:r>
      <w:r>
        <w:rPr>
          <w:rFonts w:ascii="Times New Roman" w:eastAsia="Calibri" w:hAnsi="Times New Roman" w:cs="Times New Roman"/>
          <w:sz w:val="24"/>
          <w:szCs w:val="24"/>
          <w:lang w:eastAsia="ru-RU"/>
        </w:rPr>
        <w:t>201</w:t>
      </w:r>
      <w:r>
        <w:rPr>
          <w:rFonts w:ascii="Times New Roman" w:eastAsia="Calibri" w:hAnsi="Times New Roman" w:cs="Times New Roman"/>
          <w:sz w:val="24"/>
          <w:szCs w:val="24"/>
          <w:lang w:val="uk-UA" w:eastAsia="ru-RU"/>
        </w:rPr>
        <w:t>; допомога переміщеним особам – 124.</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Призначено допомог згідно з Законами України «Про державну допомогу сім’ям з дітьми» та «Державну соціальну допомогу малозабезпеченим сім’ям» 1793 сім'ї на суму 25353,0ис. грн., у тому числі державну соціальну допомогу дітям з інвалідністю та особам з інвалідністю з дитинства І-ІІІ групи отримали 434 особи на суму 5190,2тис. грн., тимчасову допомогу сім’ям з дітьми (замість аліментів) – 7 осіб на суму 29,5тис. грн. Допомогу по догляду за психічно-хворими особами з інвалідністю І та ІІ групи отримують 58 осіб.</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16862,99тис. грн.</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На обліку в УСЗН перебуває 270 внутрішньо переміщених осіб з тимчасово окупованої території України та районів проведення АТО. Довідки про взяття на облік видано 523 особам. </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lastRenderedPageBreak/>
        <w:t xml:space="preserve">На обліку в управлінні перебуває 2 прийомні сім’ї, що отримують допомогу за принципом «гроші ходять за дитиною», 4 дитячих будинків сімейного типу, 1 патронатна сім’я. За звітний період цим сім’ям виплачено 1834,5тис. грн. </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Спеціалісти управління постійно проводять інформаційно-роз’яснювальну роботу серед населення міста щодо соціального захисту населення та роботи управління через засоби масової інформації</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Протягом І півріччя було проведено 6 засідань міської постійно діючої комісії виконавчого комітету Знам’янської міської ради з питань розгляду звернень громадян, згідно з графіком. </w:t>
      </w:r>
    </w:p>
    <w:p w:rsidR="00F17EDD" w:rsidRDefault="00F17EDD" w:rsidP="00F17EDD">
      <w:pPr>
        <w:overflowPunct w:val="0"/>
        <w:autoSpaceDE w:val="0"/>
        <w:autoSpaceDN w:val="0"/>
        <w:adjustRightInd w:val="0"/>
        <w:spacing w:after="0" w:line="240" w:lineRule="auto"/>
        <w:ind w:left="-142" w:firstLine="709"/>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Під головуванням першого заступника міського голови Валентини ЗАГОРОДНЬОЇ проведено розширене засідання міської постійно діючої комісії з питань розгляду звернень громадян. Цей напрямок роботи є одним із пріоритетних напрямків діяльності виконавчого комітету. На засіданні заслухано інформацію щодо стану розгляду звернень громадян у виконавчому комітеті по підсумках 2019 року. </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За результатами проведених перевірок складено довідки та розглянуто їх на засіданнях міської постійно діючої комісії з питань розгляду звернень громадян. Хотілося б відмітити належну роботу у даному напрямку відділу економічного розвитку, промисловості, інфраструктури та торгівлі, юридичного відділу та відділу освіти та ін. По результатах засідань складені протоколи та надані відповідні доручення. </w:t>
      </w:r>
    </w:p>
    <w:p w:rsidR="00F17EDD" w:rsidRDefault="00F17EDD" w:rsidP="00F17EDD">
      <w:pPr>
        <w:spacing w:after="0" w:line="240" w:lineRule="auto"/>
        <w:ind w:firstLine="709"/>
        <w:jc w:val="both"/>
        <w:rPr>
          <w:rFonts w:ascii="Times New Roman" w:hAnsi="Times New Roman" w:cs="Times New Roman"/>
          <w:sz w:val="24"/>
          <w:szCs w:val="28"/>
          <w:lang w:val="uk-UA"/>
        </w:rPr>
      </w:pPr>
      <w:r>
        <w:rPr>
          <w:rFonts w:ascii="Times New Roman" w:hAnsi="Times New Roman" w:cs="Times New Roman"/>
          <w:sz w:val="24"/>
          <w:szCs w:val="28"/>
          <w:lang w:val="uk-UA"/>
        </w:rPr>
        <w:t xml:space="preserve">На виконання розпорядження міського голови від 05.02.2020 р. №23 «Про перевірку стану організації діловодства та виконання документів в територіальному центрі соціального обслуговування (надання соціальних послуг) м. Знам’янка» відділом загальним, контролю та роботи із зверненнями громадян 26 лютого 2020 року </w:t>
      </w:r>
      <w:proofErr w:type="spellStart"/>
      <w:r>
        <w:rPr>
          <w:rFonts w:ascii="Times New Roman" w:hAnsi="Times New Roman" w:cs="Times New Roman"/>
          <w:sz w:val="24"/>
          <w:szCs w:val="28"/>
          <w:lang w:val="uk-UA"/>
        </w:rPr>
        <w:t>комісійно</w:t>
      </w:r>
      <w:proofErr w:type="spellEnd"/>
      <w:r>
        <w:rPr>
          <w:rFonts w:ascii="Times New Roman" w:hAnsi="Times New Roman" w:cs="Times New Roman"/>
          <w:sz w:val="24"/>
          <w:szCs w:val="28"/>
          <w:lang w:val="uk-UA"/>
        </w:rPr>
        <w:t xml:space="preserve"> здійснено перевірку ведення діловодства згідно з Інструкцією з діловодства, затвердженою Постановою Кабінету Міністрів України від 14.04.1997р. №348 (зі змінами), стану виконання Закону України «Про звернення громадян», та виконавської дисципліни в територіальному центрі соціального обслуговування (надання соціальних послуг) м. Знам’янка (далі – терцентр).  Під час  перевірки комісією виявлені порушення. 25 червня 2020 року повторно здійснено перевірку терцентру. В даному напрямку робота терцентру ведеться  на незадовільному рівні з великою кількістю порушень.  Виявлені  недоліки на момент перевірки не усунені в повному обсязі.  Довідка буде розглянута </w:t>
      </w:r>
      <w:proofErr w:type="spellStart"/>
      <w:r>
        <w:rPr>
          <w:rFonts w:ascii="Times New Roman" w:hAnsi="Times New Roman" w:cs="Times New Roman"/>
          <w:sz w:val="24"/>
          <w:szCs w:val="28"/>
          <w:lang w:val="uk-UA"/>
        </w:rPr>
        <w:t>комісійно</w:t>
      </w:r>
      <w:proofErr w:type="spellEnd"/>
      <w:r>
        <w:rPr>
          <w:rFonts w:ascii="Times New Roman" w:hAnsi="Times New Roman" w:cs="Times New Roman"/>
          <w:sz w:val="24"/>
          <w:szCs w:val="28"/>
          <w:lang w:val="uk-UA"/>
        </w:rPr>
        <w:t xml:space="preserve">  на черговому засіданні постійно діючої комісії  </w:t>
      </w:r>
      <w:r>
        <w:rPr>
          <w:rFonts w:ascii="Times New Roman" w:eastAsia="Calibri" w:hAnsi="Times New Roman" w:cs="Times New Roman"/>
          <w:sz w:val="24"/>
          <w:szCs w:val="28"/>
          <w:lang w:val="uk-UA" w:eastAsia="ru-RU"/>
        </w:rPr>
        <w:t>з питань розгляду звернень громадян.</w:t>
      </w:r>
    </w:p>
    <w:p w:rsidR="00F17EDD" w:rsidRDefault="00F17EDD" w:rsidP="00F17EDD">
      <w:pPr>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Начальникам управлінь, відділів, служб, центрів виконавчого комітету Знам’янської міської ради рекомендовано здійснювати контроль за дотриманням термінів при розгляді звернень громадян, якості та вичерпності відповідей, звертати увагу на недопущення надання неоднозначних, необґрунтованих або неповних відповідей заявника.</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Забезпечено оперативний розгляд звернень та своєчасне інформування заявників про результати розгляду, відповідно до проведеного моніторингу звернень громадян. Відсутні зауваження щодо організації роботи із зверненнями громадян у виконавчому комітеті Знам’янської міської ради. Згідно з інформацією щодо реагування на звернення громадян, які надійшли протягом І півріччя 2020 року:</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295 –</w:t>
      </w:r>
      <w:r>
        <w:rPr>
          <w:rFonts w:ascii="Times New Roman" w:eastAsia="Calibri" w:hAnsi="Times New Roman" w:cs="Times New Roman"/>
          <w:sz w:val="24"/>
          <w:szCs w:val="24"/>
          <w:lang w:eastAsia="ru-RU"/>
        </w:rPr>
        <w:t xml:space="preserve"> позитивно </w:t>
      </w:r>
      <w:proofErr w:type="spellStart"/>
      <w:r>
        <w:rPr>
          <w:rFonts w:ascii="Times New Roman" w:eastAsia="Calibri" w:hAnsi="Times New Roman" w:cs="Times New Roman"/>
          <w:sz w:val="24"/>
          <w:szCs w:val="24"/>
          <w:lang w:eastAsia="ru-RU"/>
        </w:rPr>
        <w:t>вирішенних</w:t>
      </w:r>
      <w:proofErr w:type="spellEnd"/>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звернень</w:t>
      </w:r>
      <w:proofErr w:type="spellEnd"/>
      <w:r>
        <w:rPr>
          <w:rFonts w:ascii="Times New Roman" w:eastAsia="Calibri" w:hAnsi="Times New Roman" w:cs="Times New Roman"/>
          <w:sz w:val="24"/>
          <w:szCs w:val="24"/>
          <w:lang w:val="uk-UA" w:eastAsia="ru-RU"/>
        </w:rPr>
        <w:t>;</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val="uk-UA" w:eastAsia="ru-RU"/>
        </w:rPr>
        <w:t>352</w:t>
      </w:r>
      <w:r>
        <w:rPr>
          <w:rFonts w:ascii="Times New Roman" w:eastAsia="Calibri" w:hAnsi="Times New Roman" w:cs="Times New Roman"/>
          <w:sz w:val="24"/>
          <w:szCs w:val="24"/>
          <w:lang w:eastAsia="ru-RU"/>
        </w:rPr>
        <w:t xml:space="preserve"> – дано </w:t>
      </w:r>
      <w:proofErr w:type="spellStart"/>
      <w:r>
        <w:rPr>
          <w:rFonts w:ascii="Times New Roman" w:eastAsia="Calibri" w:hAnsi="Times New Roman" w:cs="Times New Roman"/>
          <w:sz w:val="24"/>
          <w:szCs w:val="24"/>
          <w:lang w:eastAsia="ru-RU"/>
        </w:rPr>
        <w:t>роз’яснення</w:t>
      </w:r>
      <w:proofErr w:type="spellEnd"/>
      <w:r>
        <w:rPr>
          <w:rFonts w:ascii="Times New Roman" w:eastAsia="Calibri" w:hAnsi="Times New Roman" w:cs="Times New Roman"/>
          <w:sz w:val="24"/>
          <w:szCs w:val="24"/>
          <w:lang w:eastAsia="ru-RU"/>
        </w:rPr>
        <w:t>;</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109</w:t>
      </w:r>
      <w:r>
        <w:rPr>
          <w:rFonts w:ascii="Times New Roman" w:eastAsia="Calibri" w:hAnsi="Times New Roman" w:cs="Times New Roman"/>
          <w:sz w:val="24"/>
          <w:szCs w:val="24"/>
          <w:lang w:eastAsia="ru-RU"/>
        </w:rPr>
        <w:t xml:space="preserve"> – заходи </w:t>
      </w:r>
      <w:proofErr w:type="spellStart"/>
      <w:r>
        <w:rPr>
          <w:rFonts w:ascii="Times New Roman" w:eastAsia="Calibri" w:hAnsi="Times New Roman" w:cs="Times New Roman"/>
          <w:sz w:val="24"/>
          <w:szCs w:val="24"/>
          <w:lang w:eastAsia="ru-RU"/>
        </w:rPr>
        <w:t>вживаються</w:t>
      </w:r>
      <w:proofErr w:type="spellEnd"/>
      <w:r>
        <w:rPr>
          <w:rFonts w:ascii="Times New Roman" w:eastAsia="Calibri" w:hAnsi="Times New Roman" w:cs="Times New Roman"/>
          <w:sz w:val="24"/>
          <w:szCs w:val="24"/>
          <w:lang w:eastAsia="ru-RU"/>
        </w:rPr>
        <w:t>.</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Відділом загальним, контролю та роботи із зверненнями громадян здійснювалась реєстрація запитів на отримання публічної інформації згідно з законом України «Про доступ до публічної інформації». Так, протягом 2020 року запитів на отримання публічної інформації було зареєстровано – 47, за відповідний період 2019 року – 88 запитів.</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Надійшло за</w:t>
      </w:r>
      <w:proofErr w:type="spellStart"/>
      <w:r>
        <w:rPr>
          <w:rFonts w:ascii="Times New Roman" w:eastAsia="Calibri" w:hAnsi="Times New Roman" w:cs="Times New Roman"/>
          <w:sz w:val="24"/>
          <w:szCs w:val="24"/>
          <w:lang w:eastAsia="ru-RU"/>
        </w:rPr>
        <w:t>питів</w:t>
      </w:r>
      <w:proofErr w:type="spellEnd"/>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від</w:t>
      </w:r>
      <w:proofErr w:type="spellEnd"/>
      <w:r>
        <w:rPr>
          <w:rFonts w:ascii="Times New Roman" w:eastAsia="Calibri" w:hAnsi="Times New Roman" w:cs="Times New Roman"/>
          <w:sz w:val="24"/>
          <w:szCs w:val="24"/>
          <w:lang w:eastAsia="ru-RU"/>
        </w:rPr>
        <w:t>:</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proofErr w:type="spellStart"/>
      <w:r>
        <w:rPr>
          <w:rFonts w:ascii="Times New Roman" w:eastAsia="Calibri" w:hAnsi="Times New Roman" w:cs="Times New Roman"/>
          <w:sz w:val="24"/>
          <w:szCs w:val="24"/>
          <w:lang w:eastAsia="ru-RU"/>
        </w:rPr>
        <w:t>громадян</w:t>
      </w:r>
      <w:proofErr w:type="spellEnd"/>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України</w:t>
      </w:r>
      <w:proofErr w:type="spellEnd"/>
      <w:r>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val="uk-UA" w:eastAsia="ru-RU"/>
        </w:rPr>
        <w:t xml:space="preserve"> 44</w:t>
      </w:r>
      <w:r>
        <w:rPr>
          <w:rFonts w:ascii="Times New Roman" w:eastAsia="Calibri" w:hAnsi="Times New Roman" w:cs="Times New Roman"/>
          <w:sz w:val="24"/>
          <w:szCs w:val="24"/>
          <w:lang w:eastAsia="ru-RU"/>
        </w:rPr>
        <w:t>;</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eastAsia="ru-RU"/>
        </w:rPr>
      </w:pPr>
      <w:proofErr w:type="spellStart"/>
      <w:r>
        <w:rPr>
          <w:rFonts w:ascii="Times New Roman" w:eastAsia="Calibri" w:hAnsi="Times New Roman" w:cs="Times New Roman"/>
          <w:sz w:val="24"/>
          <w:szCs w:val="24"/>
          <w:lang w:eastAsia="ru-RU"/>
        </w:rPr>
        <w:t>юридичних</w:t>
      </w:r>
      <w:proofErr w:type="spellEnd"/>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осіб</w:t>
      </w:r>
      <w:proofErr w:type="spellEnd"/>
      <w:r>
        <w:rPr>
          <w:rFonts w:ascii="Times New Roman" w:eastAsia="Calibri" w:hAnsi="Times New Roman" w:cs="Times New Roman"/>
          <w:sz w:val="24"/>
          <w:szCs w:val="24"/>
          <w:lang w:eastAsia="ru-RU"/>
        </w:rPr>
        <w:t xml:space="preserve">, </w:t>
      </w:r>
      <w:proofErr w:type="spellStart"/>
      <w:proofErr w:type="gramStart"/>
      <w:r>
        <w:rPr>
          <w:rFonts w:ascii="Times New Roman" w:eastAsia="Calibri" w:hAnsi="Times New Roman" w:cs="Times New Roman"/>
          <w:sz w:val="24"/>
          <w:szCs w:val="24"/>
          <w:lang w:eastAsia="ru-RU"/>
        </w:rPr>
        <w:t>п</w:t>
      </w:r>
      <w:proofErr w:type="gramEnd"/>
      <w:r>
        <w:rPr>
          <w:rFonts w:ascii="Times New Roman" w:eastAsia="Calibri" w:hAnsi="Times New Roman" w:cs="Times New Roman"/>
          <w:sz w:val="24"/>
          <w:szCs w:val="24"/>
          <w:lang w:eastAsia="ru-RU"/>
        </w:rPr>
        <w:t>ідприємств</w:t>
      </w:r>
      <w:proofErr w:type="spellEnd"/>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установ</w:t>
      </w:r>
      <w:proofErr w:type="spellEnd"/>
      <w:r>
        <w:rPr>
          <w:rFonts w:ascii="Times New Roman" w:eastAsia="Calibri" w:hAnsi="Times New Roman" w:cs="Times New Roman"/>
          <w:sz w:val="24"/>
          <w:szCs w:val="24"/>
          <w:lang w:eastAsia="ru-RU"/>
        </w:rPr>
        <w:t xml:space="preserve"> та </w:t>
      </w:r>
      <w:proofErr w:type="spellStart"/>
      <w:r>
        <w:rPr>
          <w:rFonts w:ascii="Times New Roman" w:eastAsia="Calibri" w:hAnsi="Times New Roman" w:cs="Times New Roman"/>
          <w:sz w:val="24"/>
          <w:szCs w:val="24"/>
          <w:lang w:eastAsia="ru-RU"/>
        </w:rPr>
        <w:t>організацій</w:t>
      </w:r>
      <w:proofErr w:type="spellEnd"/>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міста</w:t>
      </w:r>
      <w:proofErr w:type="spellEnd"/>
      <w:r>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val="uk-UA" w:eastAsia="ru-RU"/>
        </w:rPr>
        <w:t>3</w:t>
      </w:r>
      <w:r>
        <w:rPr>
          <w:rFonts w:ascii="Times New Roman" w:eastAsia="Calibri" w:hAnsi="Times New Roman" w:cs="Times New Roman"/>
          <w:sz w:val="24"/>
          <w:szCs w:val="24"/>
          <w:lang w:eastAsia="ru-RU"/>
        </w:rPr>
        <w:t>.</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proofErr w:type="spellStart"/>
      <w:r>
        <w:rPr>
          <w:rFonts w:ascii="Times New Roman" w:eastAsia="Calibri" w:hAnsi="Times New Roman" w:cs="Times New Roman"/>
          <w:sz w:val="24"/>
          <w:szCs w:val="24"/>
          <w:lang w:eastAsia="ru-RU"/>
        </w:rPr>
        <w:t>Запити</w:t>
      </w:r>
      <w:proofErr w:type="spellEnd"/>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направлені</w:t>
      </w:r>
      <w:proofErr w:type="spellEnd"/>
      <w:r>
        <w:rPr>
          <w:rFonts w:ascii="Times New Roman" w:eastAsia="Calibri" w:hAnsi="Times New Roman" w:cs="Times New Roman"/>
          <w:sz w:val="24"/>
          <w:szCs w:val="24"/>
          <w:lang w:eastAsia="ru-RU"/>
        </w:rPr>
        <w:t xml:space="preserve"> до </w:t>
      </w:r>
      <w:proofErr w:type="spellStart"/>
      <w:r>
        <w:rPr>
          <w:rFonts w:ascii="Times New Roman" w:eastAsia="Calibri" w:hAnsi="Times New Roman" w:cs="Times New Roman"/>
          <w:sz w:val="24"/>
          <w:szCs w:val="24"/>
          <w:lang w:eastAsia="ru-RU"/>
        </w:rPr>
        <w:t>виконання</w:t>
      </w:r>
      <w:proofErr w:type="spellEnd"/>
      <w:r>
        <w:rPr>
          <w:rFonts w:ascii="Times New Roman" w:eastAsia="Calibri" w:hAnsi="Times New Roman" w:cs="Times New Roman"/>
          <w:sz w:val="24"/>
          <w:szCs w:val="24"/>
          <w:lang w:eastAsia="ru-RU"/>
        </w:rPr>
        <w:t xml:space="preserve"> у:</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відділ організаційно-кадрової роботи – 15;</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відділ освіти – 9;</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УМА та ЖКГ – 6;</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відділ інформаційної діяльності та комунікацій з громадськістю – 3;</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eastAsia="ru-RU"/>
        </w:rPr>
        <w:lastRenderedPageBreak/>
        <w:t xml:space="preserve">відділ </w:t>
      </w:r>
      <w:proofErr w:type="spellStart"/>
      <w:r>
        <w:rPr>
          <w:rFonts w:ascii="Times New Roman" w:eastAsia="Calibri" w:hAnsi="Times New Roman" w:cs="Times New Roman"/>
          <w:sz w:val="24"/>
          <w:szCs w:val="24"/>
          <w:lang w:eastAsia="ru-RU"/>
        </w:rPr>
        <w:t>фінансово-господарського</w:t>
      </w:r>
      <w:proofErr w:type="spellEnd"/>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забезпечення</w:t>
      </w:r>
      <w:proofErr w:type="spellEnd"/>
      <w:r>
        <w:rPr>
          <w:rFonts w:ascii="Times New Roman" w:eastAsia="Calibri" w:hAnsi="Times New Roman" w:cs="Times New Roman"/>
          <w:sz w:val="24"/>
          <w:szCs w:val="24"/>
          <w:lang w:eastAsia="ru-RU"/>
        </w:rPr>
        <w:t xml:space="preserve"> – </w:t>
      </w:r>
      <w:r>
        <w:rPr>
          <w:rFonts w:ascii="Times New Roman" w:eastAsia="Calibri" w:hAnsi="Times New Roman" w:cs="Times New Roman"/>
          <w:sz w:val="24"/>
          <w:szCs w:val="24"/>
          <w:lang w:val="uk-UA" w:eastAsia="ru-RU"/>
        </w:rPr>
        <w:t>3</w:t>
      </w:r>
      <w:r>
        <w:rPr>
          <w:rFonts w:ascii="Times New Roman" w:eastAsia="Calibri" w:hAnsi="Times New Roman" w:cs="Times New Roman"/>
          <w:sz w:val="24"/>
          <w:szCs w:val="24"/>
          <w:lang w:eastAsia="ru-RU"/>
        </w:rPr>
        <w:t>;</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proofErr w:type="spellStart"/>
      <w:r>
        <w:rPr>
          <w:rFonts w:ascii="Times New Roman" w:eastAsia="Calibri" w:hAnsi="Times New Roman" w:cs="Times New Roman"/>
          <w:sz w:val="24"/>
          <w:szCs w:val="24"/>
          <w:lang w:eastAsia="ru-RU"/>
        </w:rPr>
        <w:t>юридичний</w:t>
      </w:r>
      <w:proofErr w:type="spellEnd"/>
      <w:r>
        <w:rPr>
          <w:rFonts w:ascii="Times New Roman" w:eastAsia="Calibri" w:hAnsi="Times New Roman" w:cs="Times New Roman"/>
          <w:sz w:val="24"/>
          <w:szCs w:val="24"/>
          <w:lang w:eastAsia="ru-RU"/>
        </w:rPr>
        <w:t xml:space="preserve"> відділ –</w:t>
      </w:r>
      <w:r>
        <w:rPr>
          <w:rFonts w:ascii="Times New Roman" w:eastAsia="Calibri" w:hAnsi="Times New Roman" w:cs="Times New Roman"/>
          <w:sz w:val="24"/>
          <w:szCs w:val="24"/>
          <w:lang w:val="uk-UA" w:eastAsia="ru-RU"/>
        </w:rPr>
        <w:t xml:space="preserve"> 3</w:t>
      </w:r>
      <w:r>
        <w:rPr>
          <w:rFonts w:ascii="Times New Roman" w:eastAsia="Calibri" w:hAnsi="Times New Roman" w:cs="Times New Roman"/>
          <w:sz w:val="24"/>
          <w:szCs w:val="24"/>
          <w:lang w:eastAsia="ru-RU"/>
        </w:rPr>
        <w:t>;</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eastAsia="ru-RU"/>
        </w:rPr>
        <w:t xml:space="preserve">відділ </w:t>
      </w:r>
      <w:proofErr w:type="spellStart"/>
      <w:r>
        <w:rPr>
          <w:rFonts w:ascii="Times New Roman" w:eastAsia="Calibri" w:hAnsi="Times New Roman" w:cs="Times New Roman"/>
          <w:sz w:val="24"/>
          <w:szCs w:val="24"/>
          <w:lang w:eastAsia="ru-RU"/>
        </w:rPr>
        <w:t>економічного</w:t>
      </w:r>
      <w:proofErr w:type="spellEnd"/>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розвитку</w:t>
      </w:r>
      <w:proofErr w:type="spellEnd"/>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промисловості</w:t>
      </w:r>
      <w:proofErr w:type="spellEnd"/>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інфраструктури</w:t>
      </w:r>
      <w:proofErr w:type="spellEnd"/>
      <w:r>
        <w:rPr>
          <w:rFonts w:ascii="Times New Roman" w:eastAsia="Calibri" w:hAnsi="Times New Roman" w:cs="Times New Roman"/>
          <w:sz w:val="24"/>
          <w:szCs w:val="24"/>
          <w:lang w:eastAsia="ru-RU"/>
        </w:rPr>
        <w:t xml:space="preserve"> та </w:t>
      </w:r>
      <w:proofErr w:type="spellStart"/>
      <w:r>
        <w:rPr>
          <w:rFonts w:ascii="Times New Roman" w:eastAsia="Calibri" w:hAnsi="Times New Roman" w:cs="Times New Roman"/>
          <w:sz w:val="24"/>
          <w:szCs w:val="24"/>
          <w:lang w:eastAsia="ru-RU"/>
        </w:rPr>
        <w:t>торгі</w:t>
      </w:r>
      <w:proofErr w:type="gramStart"/>
      <w:r>
        <w:rPr>
          <w:rFonts w:ascii="Times New Roman" w:eastAsia="Calibri" w:hAnsi="Times New Roman" w:cs="Times New Roman"/>
          <w:sz w:val="24"/>
          <w:szCs w:val="24"/>
          <w:lang w:eastAsia="ru-RU"/>
        </w:rPr>
        <w:t>вл</w:t>
      </w:r>
      <w:proofErr w:type="gramEnd"/>
      <w:r>
        <w:rPr>
          <w:rFonts w:ascii="Times New Roman" w:eastAsia="Calibri" w:hAnsi="Times New Roman" w:cs="Times New Roman"/>
          <w:sz w:val="24"/>
          <w:szCs w:val="24"/>
          <w:lang w:eastAsia="ru-RU"/>
        </w:rPr>
        <w:t>і</w:t>
      </w:r>
      <w:proofErr w:type="spellEnd"/>
      <w:r>
        <w:rPr>
          <w:rFonts w:ascii="Times New Roman" w:eastAsia="Calibri" w:hAnsi="Times New Roman" w:cs="Times New Roman"/>
          <w:sz w:val="24"/>
          <w:szCs w:val="24"/>
          <w:lang w:eastAsia="ru-RU"/>
        </w:rPr>
        <w:t xml:space="preserve"> – </w:t>
      </w:r>
      <w:r>
        <w:rPr>
          <w:rFonts w:ascii="Times New Roman" w:eastAsia="Calibri" w:hAnsi="Times New Roman" w:cs="Times New Roman"/>
          <w:sz w:val="24"/>
          <w:szCs w:val="24"/>
          <w:lang w:val="uk-UA" w:eastAsia="ru-RU"/>
        </w:rPr>
        <w:t>2</w:t>
      </w:r>
      <w:r>
        <w:rPr>
          <w:rFonts w:ascii="Times New Roman" w:eastAsia="Calibri" w:hAnsi="Times New Roman" w:cs="Times New Roman"/>
          <w:sz w:val="24"/>
          <w:szCs w:val="24"/>
          <w:lang w:eastAsia="ru-RU"/>
        </w:rPr>
        <w:t>;</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управління соціального захисту населення – 2;</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eastAsia="ru-RU"/>
        </w:rPr>
        <w:t xml:space="preserve">відділ </w:t>
      </w:r>
      <w:proofErr w:type="spellStart"/>
      <w:r>
        <w:rPr>
          <w:rFonts w:ascii="Times New Roman" w:eastAsia="Calibri" w:hAnsi="Times New Roman" w:cs="Times New Roman"/>
          <w:sz w:val="24"/>
          <w:szCs w:val="24"/>
          <w:lang w:eastAsia="ru-RU"/>
        </w:rPr>
        <w:t>молоді</w:t>
      </w:r>
      <w:proofErr w:type="spellEnd"/>
      <w:r>
        <w:rPr>
          <w:rFonts w:ascii="Times New Roman" w:eastAsia="Calibri" w:hAnsi="Times New Roman" w:cs="Times New Roman"/>
          <w:sz w:val="24"/>
          <w:szCs w:val="24"/>
          <w:lang w:eastAsia="ru-RU"/>
        </w:rPr>
        <w:t xml:space="preserve">, спорту та </w:t>
      </w:r>
      <w:proofErr w:type="spellStart"/>
      <w:r>
        <w:rPr>
          <w:rFonts w:ascii="Times New Roman" w:eastAsia="Calibri" w:hAnsi="Times New Roman" w:cs="Times New Roman"/>
          <w:sz w:val="24"/>
          <w:szCs w:val="24"/>
          <w:lang w:eastAsia="ru-RU"/>
        </w:rPr>
        <w:t>охорони</w:t>
      </w:r>
      <w:proofErr w:type="spellEnd"/>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здоров’я</w:t>
      </w:r>
      <w:proofErr w:type="spellEnd"/>
      <w:r>
        <w:rPr>
          <w:rFonts w:ascii="Times New Roman" w:eastAsia="Calibri" w:hAnsi="Times New Roman" w:cs="Times New Roman"/>
          <w:sz w:val="24"/>
          <w:szCs w:val="24"/>
          <w:lang w:eastAsia="ru-RU"/>
        </w:rPr>
        <w:t xml:space="preserve"> – </w:t>
      </w:r>
      <w:r>
        <w:rPr>
          <w:rFonts w:ascii="Times New Roman" w:eastAsia="Calibri" w:hAnsi="Times New Roman" w:cs="Times New Roman"/>
          <w:sz w:val="24"/>
          <w:szCs w:val="24"/>
          <w:lang w:val="uk-UA" w:eastAsia="ru-RU"/>
        </w:rPr>
        <w:t>2</w:t>
      </w:r>
      <w:r>
        <w:rPr>
          <w:rFonts w:ascii="Times New Roman" w:eastAsia="Calibri" w:hAnsi="Times New Roman" w:cs="Times New Roman"/>
          <w:sz w:val="24"/>
          <w:szCs w:val="24"/>
          <w:lang w:eastAsia="ru-RU"/>
        </w:rPr>
        <w:t>;</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службу у справах дітей – 1;</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фінансове управління – 1.</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Запити, подані в порядку Закону України «Про доступ до публічної інформації» як поштою, так і електронним зв’язком, були зареєстровані у журналі реєстрації та розглянуті у відповідний строк.</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З метою забезпечення інформованості громадськості про стан роботи зі зверненнями громадян на офіційному веб-сайті Знам’янської міської ради у розділі «Звернення громадян» щокварталу оприлюднюються узагальнені відомості про організацію роботи із зверненнями громадян.</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Протягом І півріччя на офіційному веб-сайті Знам’янської міської ради, у офіційній групі соціальної мережі </w:t>
      </w:r>
      <w:proofErr w:type="spellStart"/>
      <w:r>
        <w:rPr>
          <w:rFonts w:ascii="Times New Roman" w:eastAsia="Calibri" w:hAnsi="Times New Roman" w:cs="Times New Roman"/>
          <w:sz w:val="24"/>
          <w:szCs w:val="24"/>
          <w:lang w:val="uk-UA" w:eastAsia="ru-RU"/>
        </w:rPr>
        <w:t>Фейсбук</w:t>
      </w:r>
      <w:proofErr w:type="spellEnd"/>
      <w:r>
        <w:rPr>
          <w:rFonts w:ascii="Times New Roman" w:eastAsia="Calibri" w:hAnsi="Times New Roman" w:cs="Times New Roman"/>
          <w:sz w:val="24"/>
          <w:szCs w:val="24"/>
          <w:lang w:val="uk-UA" w:eastAsia="ru-RU"/>
        </w:rPr>
        <w:t xml:space="preserve"> «Виконавчий комітет Знам’янської міської ради» та в газеті «</w:t>
      </w:r>
      <w:proofErr w:type="spellStart"/>
      <w:r>
        <w:rPr>
          <w:rFonts w:ascii="Times New Roman" w:eastAsia="Calibri" w:hAnsi="Times New Roman" w:cs="Times New Roman"/>
          <w:sz w:val="24"/>
          <w:szCs w:val="24"/>
          <w:lang w:val="uk-UA" w:eastAsia="ru-RU"/>
        </w:rPr>
        <w:t>Знам’янські</w:t>
      </w:r>
      <w:proofErr w:type="spellEnd"/>
      <w:r>
        <w:rPr>
          <w:rFonts w:ascii="Times New Roman" w:eastAsia="Calibri" w:hAnsi="Times New Roman" w:cs="Times New Roman"/>
          <w:sz w:val="24"/>
          <w:szCs w:val="24"/>
          <w:lang w:val="uk-UA" w:eastAsia="ru-RU"/>
        </w:rPr>
        <w:t xml:space="preserve"> вісті» найчастіше розміщувались матеріали по питанню житлово-комунального господарства, а саме: благоустрій прибудинкових територій, будівництво тротуарів, асфальтування та </w:t>
      </w:r>
      <w:proofErr w:type="spellStart"/>
      <w:r>
        <w:rPr>
          <w:rFonts w:ascii="Times New Roman" w:eastAsia="Calibri" w:hAnsi="Times New Roman" w:cs="Times New Roman"/>
          <w:sz w:val="24"/>
          <w:szCs w:val="24"/>
          <w:lang w:val="uk-UA" w:eastAsia="ru-RU"/>
        </w:rPr>
        <w:t>грейдерування</w:t>
      </w:r>
      <w:proofErr w:type="spellEnd"/>
      <w:r>
        <w:rPr>
          <w:rFonts w:ascii="Times New Roman" w:eastAsia="Calibri" w:hAnsi="Times New Roman" w:cs="Times New Roman"/>
          <w:sz w:val="24"/>
          <w:szCs w:val="24"/>
          <w:lang w:val="uk-UA" w:eastAsia="ru-RU"/>
        </w:rPr>
        <w:t xml:space="preserve"> доріг, експлуатація і ремонт житла, встановлення дитячого та спортивного майданчику, квітників, покос трави, дезінфікування </w:t>
      </w:r>
      <w:proofErr w:type="spellStart"/>
      <w:r>
        <w:rPr>
          <w:rFonts w:ascii="Times New Roman" w:eastAsia="Calibri" w:hAnsi="Times New Roman" w:cs="Times New Roman"/>
          <w:sz w:val="24"/>
          <w:szCs w:val="24"/>
          <w:lang w:val="uk-UA" w:eastAsia="ru-RU"/>
        </w:rPr>
        <w:t>вулично</w:t>
      </w:r>
      <w:proofErr w:type="spellEnd"/>
      <w:r>
        <w:rPr>
          <w:rFonts w:ascii="Times New Roman" w:eastAsia="Calibri" w:hAnsi="Times New Roman" w:cs="Times New Roman"/>
          <w:sz w:val="24"/>
          <w:szCs w:val="24"/>
          <w:lang w:val="uk-UA" w:eastAsia="ru-RU"/>
        </w:rPr>
        <w:t xml:space="preserve">-дорожніх мереж міста та ін. </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На сторінках газети та сайті міської ради надано покрокова інструкція знам’янчанам, щодо загрози спалаху гострої респіраторної хвороби С</w:t>
      </w:r>
      <w:r>
        <w:rPr>
          <w:rFonts w:ascii="Times New Roman" w:eastAsia="Calibri" w:hAnsi="Times New Roman" w:cs="Times New Roman"/>
          <w:sz w:val="24"/>
          <w:szCs w:val="24"/>
          <w:lang w:val="en-US" w:eastAsia="ru-RU"/>
        </w:rPr>
        <w:t>OVID</w:t>
      </w:r>
      <w:r>
        <w:rPr>
          <w:rFonts w:ascii="Times New Roman" w:eastAsia="Calibri" w:hAnsi="Times New Roman" w:cs="Times New Roman"/>
          <w:sz w:val="24"/>
          <w:szCs w:val="24"/>
          <w:lang w:val="uk-UA" w:eastAsia="ru-RU"/>
        </w:rPr>
        <w:t>-19, та обмежувальні заходи під час карантину. Приділена увага висвітленню питань освіти, а саме: дистанційне навчання, забезпечення всебічного розвитку дітей. Також порушувались питання щодо зміни руху автобусів під час карантину та допомога малозабезпеченим верствам населення продуктовими наборами.</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Всі звернення, що надходять до міськвиконкому, міський голова розглядає особисто, дає відповідні доручення виконавцям. Від виконавців міський голова вимагає позитивного вирішення питань, що належать до їх компетенції. Заявники обов`язково повідомляються про результати розгляду їх звернень у терміни, визначені законодавством України.</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Особлива увага приділяється вирішенню питань, які порушують ветерани війни і праці, інваліди, учасники АТО, пенсіонери, особи, які постраждали внаслідок аварії на ЧАЕС, багатодітні сім`ї, діти-інваліди, одинокі матері та особи, які потребують соціального захисту та підтримки.</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Відмов працівниками виконавчого комітету у задоволенні права на звернення громадян не зафіксовано. Порушення Закону України «Про звернення громадян» при розгляді звернень громадян відсутні.</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Виконавчим комітетом Знам’янської міської ради вживаються всі можливі заходи щодо забезпечення реалізації конституційних прав громадянина на звернення, неухильного виконання норм Закону України «Про звернення громадян», упорядкування роботи із зверненнями громадян.</w:t>
      </w:r>
    </w:p>
    <w:p w:rsidR="00F17EDD" w:rsidRDefault="00F17EDD" w:rsidP="00F17EDD">
      <w:pPr>
        <w:autoSpaceDN w:val="0"/>
        <w:spacing w:after="0" w:line="240" w:lineRule="auto"/>
        <w:ind w:firstLine="708"/>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Питання організації роботи зі зверненнями громадян перебуває на постійному контролі керівництва виконавчого комітету Знам’янської міської ради.</w:t>
      </w: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p>
    <w:p w:rsidR="00F17EDD" w:rsidRDefault="00F17EDD" w:rsidP="00F17EDD">
      <w:pPr>
        <w:autoSpaceDN w:val="0"/>
        <w:spacing w:after="0" w:line="240" w:lineRule="auto"/>
        <w:jc w:val="both"/>
        <w:rPr>
          <w:rFonts w:ascii="Times New Roman" w:eastAsia="Calibri" w:hAnsi="Times New Roman" w:cs="Times New Roman"/>
          <w:sz w:val="24"/>
          <w:szCs w:val="24"/>
          <w:lang w:val="uk-UA" w:eastAsia="ru-RU"/>
        </w:rPr>
      </w:pPr>
    </w:p>
    <w:p w:rsidR="00F17EDD" w:rsidRDefault="00F17EDD" w:rsidP="00F17EDD">
      <w:pPr>
        <w:autoSpaceDN w:val="0"/>
        <w:spacing w:after="0" w:line="240" w:lineRule="auto"/>
        <w:jc w:val="both"/>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Начальник відділу загального, контролю</w:t>
      </w:r>
    </w:p>
    <w:p w:rsidR="00F17EDD" w:rsidRDefault="00F17EDD" w:rsidP="00F17EDD">
      <w:pPr>
        <w:tabs>
          <w:tab w:val="left" w:pos="6946"/>
        </w:tabs>
        <w:autoSpaceDN w:val="0"/>
        <w:spacing w:after="0" w:line="240" w:lineRule="auto"/>
        <w:jc w:val="both"/>
        <w:rPr>
          <w:lang w:val="uk-UA"/>
        </w:rPr>
      </w:pPr>
      <w:r>
        <w:rPr>
          <w:rFonts w:ascii="Times New Roman" w:eastAsia="Calibri" w:hAnsi="Times New Roman" w:cs="Times New Roman"/>
          <w:b/>
          <w:sz w:val="24"/>
          <w:szCs w:val="24"/>
          <w:lang w:val="uk-UA" w:eastAsia="ru-RU"/>
        </w:rPr>
        <w:t>та роботи із зверненнями громадян</w:t>
      </w:r>
      <w:r>
        <w:rPr>
          <w:rFonts w:ascii="Times New Roman" w:eastAsia="Calibri" w:hAnsi="Times New Roman" w:cs="Times New Roman"/>
          <w:b/>
          <w:sz w:val="24"/>
          <w:szCs w:val="24"/>
          <w:lang w:val="uk-UA" w:eastAsia="ru-RU"/>
        </w:rPr>
        <w:tab/>
        <w:t>Олена ГРИГОР’ЄВА</w:t>
      </w:r>
    </w:p>
    <w:p w:rsidR="00544DE6" w:rsidRPr="00F17EDD" w:rsidRDefault="00544DE6" w:rsidP="00F17EDD">
      <w:pPr>
        <w:rPr>
          <w:lang w:val="uk-UA"/>
        </w:rPr>
      </w:pPr>
    </w:p>
    <w:sectPr w:rsidR="00544DE6" w:rsidRPr="00F17EDD" w:rsidSect="007C4590">
      <w:headerReference w:type="first" r:id="rId15"/>
      <w:type w:val="continuous"/>
      <w:pgSz w:w="11906" w:h="16838"/>
      <w:pgMar w:top="426" w:right="851" w:bottom="284" w:left="1701" w:header="41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4B3" w:rsidRDefault="009374B3" w:rsidP="00486FA6">
      <w:pPr>
        <w:spacing w:after="0" w:line="240" w:lineRule="auto"/>
      </w:pPr>
      <w:r>
        <w:separator/>
      </w:r>
    </w:p>
  </w:endnote>
  <w:endnote w:type="continuationSeparator" w:id="0">
    <w:p w:rsidR="009374B3" w:rsidRDefault="009374B3" w:rsidP="00486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4B3" w:rsidRDefault="009374B3" w:rsidP="00486FA6">
      <w:pPr>
        <w:spacing w:after="0" w:line="240" w:lineRule="auto"/>
      </w:pPr>
      <w:r>
        <w:separator/>
      </w:r>
    </w:p>
  </w:footnote>
  <w:footnote w:type="continuationSeparator" w:id="0">
    <w:p w:rsidR="009374B3" w:rsidRDefault="009374B3" w:rsidP="00486F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6DC" w:rsidRDefault="007D16DC">
    <w:pPr>
      <w:pStyle w:val="a9"/>
      <w:jc w:val="center"/>
    </w:pPr>
  </w:p>
  <w:p w:rsidR="007D16DC" w:rsidRDefault="007D16D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B2AA0"/>
    <w:multiLevelType w:val="hybridMultilevel"/>
    <w:tmpl w:val="01D0D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497861"/>
    <w:multiLevelType w:val="hybridMultilevel"/>
    <w:tmpl w:val="9182D076"/>
    <w:lvl w:ilvl="0" w:tplc="F67EEF5C">
      <w:numFmt w:val="bullet"/>
      <w:lvlText w:val="-"/>
      <w:lvlJc w:val="left"/>
      <w:pPr>
        <w:tabs>
          <w:tab w:val="num" w:pos="1068"/>
        </w:tabs>
        <w:ind w:left="1068" w:hanging="360"/>
      </w:pPr>
      <w:rPr>
        <w:rFonts w:ascii="Times New Roman" w:eastAsia="Times New Roman" w:hAnsi="Times New Roman" w:cs="Times New Roman" w:hint="default"/>
      </w:rPr>
    </w:lvl>
    <w:lvl w:ilvl="1" w:tplc="AD3EC198">
      <w:numFmt w:val="bullet"/>
      <w:lvlText w:val="-"/>
      <w:lvlJc w:val="left"/>
      <w:pPr>
        <w:tabs>
          <w:tab w:val="num" w:pos="1788"/>
        </w:tabs>
        <w:ind w:left="1788" w:hanging="360"/>
      </w:pPr>
      <w:rPr>
        <w:rFonts w:ascii="Times New Roman" w:eastAsia="Times New Roman" w:hAnsi="Times New Roman"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2">
    <w:nsid w:val="185B110F"/>
    <w:multiLevelType w:val="hybridMultilevel"/>
    <w:tmpl w:val="44DAB36C"/>
    <w:lvl w:ilvl="0" w:tplc="D7F6BBB8">
      <w:numFmt w:val="bullet"/>
      <w:lvlText w:val="-"/>
      <w:lvlJc w:val="left"/>
      <w:pPr>
        <w:tabs>
          <w:tab w:val="num" w:pos="1245"/>
        </w:tabs>
        <w:ind w:left="1245" w:hanging="885"/>
      </w:pPr>
      <w:rPr>
        <w:rFonts w:ascii="Times New Roman" w:eastAsia="Times New Roman" w:hAnsi="Times New Roman" w:cs="Times New Roman" w:hint="default"/>
      </w:rPr>
    </w:lvl>
    <w:lvl w:ilvl="1" w:tplc="04220003">
      <w:start w:val="1"/>
      <w:numFmt w:val="decimal"/>
      <w:lvlText w:val="%2."/>
      <w:lvlJc w:val="left"/>
      <w:pPr>
        <w:tabs>
          <w:tab w:val="num" w:pos="732"/>
        </w:tabs>
        <w:ind w:left="732" w:hanging="360"/>
      </w:pPr>
      <w:rPr>
        <w:rFonts w:cs="Times New Roman"/>
      </w:rPr>
    </w:lvl>
    <w:lvl w:ilvl="2" w:tplc="04220005">
      <w:start w:val="1"/>
      <w:numFmt w:val="decimal"/>
      <w:lvlText w:val="%3."/>
      <w:lvlJc w:val="left"/>
      <w:pPr>
        <w:tabs>
          <w:tab w:val="num" w:pos="1452"/>
        </w:tabs>
        <w:ind w:left="1452" w:hanging="360"/>
      </w:pPr>
      <w:rPr>
        <w:rFonts w:cs="Times New Roman"/>
      </w:rPr>
    </w:lvl>
    <w:lvl w:ilvl="3" w:tplc="04220001">
      <w:start w:val="1"/>
      <w:numFmt w:val="decimal"/>
      <w:lvlText w:val="%4."/>
      <w:lvlJc w:val="left"/>
      <w:pPr>
        <w:tabs>
          <w:tab w:val="num" w:pos="2172"/>
        </w:tabs>
        <w:ind w:left="2172" w:hanging="360"/>
      </w:pPr>
      <w:rPr>
        <w:rFonts w:cs="Times New Roman"/>
      </w:rPr>
    </w:lvl>
    <w:lvl w:ilvl="4" w:tplc="04220003">
      <w:start w:val="1"/>
      <w:numFmt w:val="decimal"/>
      <w:lvlText w:val="%5."/>
      <w:lvlJc w:val="left"/>
      <w:pPr>
        <w:tabs>
          <w:tab w:val="num" w:pos="2892"/>
        </w:tabs>
        <w:ind w:left="2892" w:hanging="360"/>
      </w:pPr>
      <w:rPr>
        <w:rFonts w:cs="Times New Roman"/>
      </w:rPr>
    </w:lvl>
    <w:lvl w:ilvl="5" w:tplc="04220005">
      <w:start w:val="1"/>
      <w:numFmt w:val="decimal"/>
      <w:lvlText w:val="%6."/>
      <w:lvlJc w:val="left"/>
      <w:pPr>
        <w:tabs>
          <w:tab w:val="num" w:pos="3612"/>
        </w:tabs>
        <w:ind w:left="3612" w:hanging="360"/>
      </w:pPr>
      <w:rPr>
        <w:rFonts w:cs="Times New Roman"/>
      </w:rPr>
    </w:lvl>
    <w:lvl w:ilvl="6" w:tplc="04220001">
      <w:start w:val="1"/>
      <w:numFmt w:val="decimal"/>
      <w:lvlText w:val="%7."/>
      <w:lvlJc w:val="left"/>
      <w:pPr>
        <w:tabs>
          <w:tab w:val="num" w:pos="4332"/>
        </w:tabs>
        <w:ind w:left="4332" w:hanging="360"/>
      </w:pPr>
      <w:rPr>
        <w:rFonts w:cs="Times New Roman"/>
      </w:rPr>
    </w:lvl>
    <w:lvl w:ilvl="7" w:tplc="04220003">
      <w:start w:val="1"/>
      <w:numFmt w:val="decimal"/>
      <w:lvlText w:val="%8."/>
      <w:lvlJc w:val="left"/>
      <w:pPr>
        <w:tabs>
          <w:tab w:val="num" w:pos="5052"/>
        </w:tabs>
        <w:ind w:left="5052" w:hanging="360"/>
      </w:pPr>
      <w:rPr>
        <w:rFonts w:cs="Times New Roman"/>
      </w:rPr>
    </w:lvl>
    <w:lvl w:ilvl="8" w:tplc="04220005">
      <w:start w:val="1"/>
      <w:numFmt w:val="decimal"/>
      <w:lvlText w:val="%9."/>
      <w:lvlJc w:val="left"/>
      <w:pPr>
        <w:tabs>
          <w:tab w:val="num" w:pos="5772"/>
        </w:tabs>
        <w:ind w:left="5772" w:hanging="360"/>
      </w:pPr>
      <w:rPr>
        <w:rFonts w:cs="Times New Roman"/>
      </w:rPr>
    </w:lvl>
  </w:abstractNum>
  <w:abstractNum w:abstractNumId="3">
    <w:nsid w:val="19A923C7"/>
    <w:multiLevelType w:val="hybridMultilevel"/>
    <w:tmpl w:val="E6A01B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30D92D48"/>
    <w:multiLevelType w:val="hybridMultilevel"/>
    <w:tmpl w:val="B65464E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42E75A04"/>
    <w:multiLevelType w:val="hybridMultilevel"/>
    <w:tmpl w:val="EBDCDD26"/>
    <w:lvl w:ilvl="0" w:tplc="DE9E113E">
      <w:start w:val="106"/>
      <w:numFmt w:val="bullet"/>
      <w:lvlText w:val="-"/>
      <w:lvlJc w:val="left"/>
      <w:pPr>
        <w:tabs>
          <w:tab w:val="num" w:pos="1068"/>
        </w:tabs>
        <w:ind w:left="1068"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6">
    <w:nsid w:val="47DF7EC3"/>
    <w:multiLevelType w:val="hybridMultilevel"/>
    <w:tmpl w:val="5BCC3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FBF0664"/>
    <w:multiLevelType w:val="hybridMultilevel"/>
    <w:tmpl w:val="C32AD6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D3F14A1"/>
    <w:multiLevelType w:val="hybridMultilevel"/>
    <w:tmpl w:val="0F72E618"/>
    <w:lvl w:ilvl="0" w:tplc="E67A56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0F23B5"/>
    <w:multiLevelType w:val="hybridMultilevel"/>
    <w:tmpl w:val="2206A0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704B4222"/>
    <w:multiLevelType w:val="hybridMultilevel"/>
    <w:tmpl w:val="B420DA1C"/>
    <w:lvl w:ilvl="0" w:tplc="38C0992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FB776E1"/>
    <w:multiLevelType w:val="hybridMultilevel"/>
    <w:tmpl w:val="FD1A671E"/>
    <w:lvl w:ilvl="0" w:tplc="91C00062">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
  </w:num>
  <w:num w:numId="4">
    <w:abstractNumId w:val="1"/>
  </w:num>
  <w:num w:numId="5">
    <w:abstractNumId w:val="6"/>
  </w:num>
  <w:num w:numId="6">
    <w:abstractNumId w:val="4"/>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9"/>
  </w:num>
  <w:num w:numId="11">
    <w:abstractNumId w:val="0"/>
  </w:num>
  <w:num w:numId="12">
    <w:abstractNumId w:val="8"/>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826"/>
    <w:rsid w:val="00017289"/>
    <w:rsid w:val="00020726"/>
    <w:rsid w:val="0002128E"/>
    <w:rsid w:val="00081B19"/>
    <w:rsid w:val="000939F1"/>
    <w:rsid w:val="000E72A6"/>
    <w:rsid w:val="00143903"/>
    <w:rsid w:val="001912F5"/>
    <w:rsid w:val="001B02FE"/>
    <w:rsid w:val="001B2AA4"/>
    <w:rsid w:val="001F2719"/>
    <w:rsid w:val="00202411"/>
    <w:rsid w:val="002505ED"/>
    <w:rsid w:val="00252181"/>
    <w:rsid w:val="00280A87"/>
    <w:rsid w:val="00291EC0"/>
    <w:rsid w:val="002930DE"/>
    <w:rsid w:val="002A2061"/>
    <w:rsid w:val="002D69FA"/>
    <w:rsid w:val="00314A27"/>
    <w:rsid w:val="00317604"/>
    <w:rsid w:val="00321561"/>
    <w:rsid w:val="00336695"/>
    <w:rsid w:val="003800EE"/>
    <w:rsid w:val="003B11BD"/>
    <w:rsid w:val="003B51CD"/>
    <w:rsid w:val="003D0A97"/>
    <w:rsid w:val="0040271F"/>
    <w:rsid w:val="00457DCB"/>
    <w:rsid w:val="0046143B"/>
    <w:rsid w:val="004862B5"/>
    <w:rsid w:val="00486FA6"/>
    <w:rsid w:val="00493F1B"/>
    <w:rsid w:val="004B2DB0"/>
    <w:rsid w:val="004F074F"/>
    <w:rsid w:val="00502973"/>
    <w:rsid w:val="00544DE6"/>
    <w:rsid w:val="005A7A75"/>
    <w:rsid w:val="005C63AE"/>
    <w:rsid w:val="005D1787"/>
    <w:rsid w:val="005D282F"/>
    <w:rsid w:val="005D7256"/>
    <w:rsid w:val="00613829"/>
    <w:rsid w:val="00644482"/>
    <w:rsid w:val="00646A81"/>
    <w:rsid w:val="00660001"/>
    <w:rsid w:val="00660EAA"/>
    <w:rsid w:val="00670746"/>
    <w:rsid w:val="006A1865"/>
    <w:rsid w:val="006B208B"/>
    <w:rsid w:val="006D7A97"/>
    <w:rsid w:val="006E0D99"/>
    <w:rsid w:val="006E22BF"/>
    <w:rsid w:val="006F3449"/>
    <w:rsid w:val="007806A0"/>
    <w:rsid w:val="007B1E1B"/>
    <w:rsid w:val="007B6EE7"/>
    <w:rsid w:val="007C201A"/>
    <w:rsid w:val="007C4590"/>
    <w:rsid w:val="007D16DC"/>
    <w:rsid w:val="007D43D7"/>
    <w:rsid w:val="008011BE"/>
    <w:rsid w:val="008646E0"/>
    <w:rsid w:val="00885C69"/>
    <w:rsid w:val="0088753B"/>
    <w:rsid w:val="008E0D82"/>
    <w:rsid w:val="00922DD6"/>
    <w:rsid w:val="009374B3"/>
    <w:rsid w:val="00966F0E"/>
    <w:rsid w:val="009A0BFA"/>
    <w:rsid w:val="00A02EDB"/>
    <w:rsid w:val="00A106B9"/>
    <w:rsid w:val="00A16D67"/>
    <w:rsid w:val="00A2130F"/>
    <w:rsid w:val="00A33419"/>
    <w:rsid w:val="00A720B6"/>
    <w:rsid w:val="00A72932"/>
    <w:rsid w:val="00A952C1"/>
    <w:rsid w:val="00AD4826"/>
    <w:rsid w:val="00B213DE"/>
    <w:rsid w:val="00B44F4A"/>
    <w:rsid w:val="00B7507F"/>
    <w:rsid w:val="00B7783A"/>
    <w:rsid w:val="00C274E2"/>
    <w:rsid w:val="00C31090"/>
    <w:rsid w:val="00C45FED"/>
    <w:rsid w:val="00C603A2"/>
    <w:rsid w:val="00D04EAC"/>
    <w:rsid w:val="00D12DDD"/>
    <w:rsid w:val="00D241F2"/>
    <w:rsid w:val="00D25683"/>
    <w:rsid w:val="00D406B6"/>
    <w:rsid w:val="00D44230"/>
    <w:rsid w:val="00D527D4"/>
    <w:rsid w:val="00DC34F5"/>
    <w:rsid w:val="00F17EDD"/>
    <w:rsid w:val="00F2604F"/>
    <w:rsid w:val="00F949A2"/>
    <w:rsid w:val="00FD5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E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link w:val="a4"/>
    <w:locked/>
    <w:rsid w:val="00AD4826"/>
    <w:rPr>
      <w:b/>
      <w:bCs/>
      <w:shd w:val="clear" w:color="auto" w:fill="FFFFFF"/>
    </w:rPr>
  </w:style>
  <w:style w:type="paragraph" w:customStyle="1" w:styleId="a4">
    <w:name w:val="Подпись к картинке"/>
    <w:basedOn w:val="a"/>
    <w:link w:val="a3"/>
    <w:rsid w:val="00AD4826"/>
    <w:pPr>
      <w:widowControl w:val="0"/>
      <w:shd w:val="clear" w:color="auto" w:fill="FFFFFF"/>
      <w:spacing w:after="0" w:line="240" w:lineRule="auto"/>
    </w:pPr>
    <w:rPr>
      <w:b/>
      <w:bCs/>
    </w:rPr>
  </w:style>
  <w:style w:type="paragraph" w:styleId="a5">
    <w:name w:val="Balloon Text"/>
    <w:basedOn w:val="a"/>
    <w:link w:val="a6"/>
    <w:uiPriority w:val="99"/>
    <w:semiHidden/>
    <w:unhideWhenUsed/>
    <w:rsid w:val="00AD482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D4826"/>
    <w:rPr>
      <w:rFonts w:ascii="Tahoma" w:hAnsi="Tahoma" w:cs="Tahoma"/>
      <w:sz w:val="16"/>
      <w:szCs w:val="16"/>
    </w:rPr>
  </w:style>
  <w:style w:type="character" w:customStyle="1" w:styleId="1">
    <w:name w:val="Заголовок №1_"/>
    <w:basedOn w:val="a0"/>
    <w:link w:val="10"/>
    <w:rsid w:val="00AD4826"/>
    <w:rPr>
      <w:rFonts w:ascii="Times New Roman" w:eastAsia="Times New Roman" w:hAnsi="Times New Roman" w:cs="Times New Roman"/>
      <w:b/>
      <w:bCs/>
      <w:shd w:val="clear" w:color="auto" w:fill="FFFFFF"/>
    </w:rPr>
  </w:style>
  <w:style w:type="paragraph" w:customStyle="1" w:styleId="10">
    <w:name w:val="Заголовок №1"/>
    <w:basedOn w:val="a"/>
    <w:link w:val="1"/>
    <w:rsid w:val="00AD4826"/>
    <w:pPr>
      <w:widowControl w:val="0"/>
      <w:shd w:val="clear" w:color="auto" w:fill="FFFFFF"/>
      <w:spacing w:before="420" w:after="720" w:line="0" w:lineRule="atLeast"/>
      <w:outlineLvl w:val="0"/>
    </w:pPr>
    <w:rPr>
      <w:rFonts w:ascii="Times New Roman" w:eastAsia="Times New Roman" w:hAnsi="Times New Roman" w:cs="Times New Roman"/>
      <w:b/>
      <w:bCs/>
    </w:rPr>
  </w:style>
  <w:style w:type="paragraph" w:styleId="a7">
    <w:name w:val="No Spacing"/>
    <w:qFormat/>
    <w:rsid w:val="00252181"/>
    <w:pPr>
      <w:spacing w:after="0" w:line="240" w:lineRule="auto"/>
    </w:pPr>
    <w:rPr>
      <w:rFonts w:ascii="Calibri" w:eastAsia="Times New Roman" w:hAnsi="Calibri" w:cs="Times New Roman"/>
    </w:rPr>
  </w:style>
  <w:style w:type="character" w:customStyle="1" w:styleId="3">
    <w:name w:val="Основной текст (3)_"/>
    <w:basedOn w:val="a0"/>
    <w:link w:val="30"/>
    <w:rsid w:val="006D7A97"/>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6D7A97"/>
    <w:pPr>
      <w:widowControl w:val="0"/>
      <w:shd w:val="clear" w:color="auto" w:fill="FFFFFF"/>
      <w:spacing w:before="60" w:after="420" w:line="0" w:lineRule="atLeast"/>
    </w:pPr>
    <w:rPr>
      <w:rFonts w:ascii="Times New Roman" w:eastAsia="Times New Roman" w:hAnsi="Times New Roman" w:cs="Times New Roman"/>
      <w:b/>
      <w:bCs/>
      <w:sz w:val="26"/>
      <w:szCs w:val="26"/>
    </w:rPr>
  </w:style>
  <w:style w:type="paragraph" w:styleId="a8">
    <w:name w:val="List Paragraph"/>
    <w:basedOn w:val="a"/>
    <w:uiPriority w:val="34"/>
    <w:qFormat/>
    <w:rsid w:val="00A720B6"/>
    <w:pPr>
      <w:ind w:left="720"/>
      <w:contextualSpacing/>
    </w:pPr>
  </w:style>
  <w:style w:type="paragraph" w:styleId="a9">
    <w:name w:val="header"/>
    <w:basedOn w:val="a"/>
    <w:link w:val="aa"/>
    <w:uiPriority w:val="99"/>
    <w:unhideWhenUsed/>
    <w:rsid w:val="00486FA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86FA6"/>
  </w:style>
  <w:style w:type="paragraph" w:styleId="ab">
    <w:name w:val="footer"/>
    <w:basedOn w:val="a"/>
    <w:link w:val="ac"/>
    <w:uiPriority w:val="99"/>
    <w:unhideWhenUsed/>
    <w:rsid w:val="00486FA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86FA6"/>
  </w:style>
  <w:style w:type="paragraph" w:styleId="ad">
    <w:name w:val="Normal (Web)"/>
    <w:basedOn w:val="a"/>
    <w:semiHidden/>
    <w:unhideWhenUsed/>
    <w:rsid w:val="00D527D4"/>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e">
    <w:name w:val="Emphasis"/>
    <w:basedOn w:val="a0"/>
    <w:uiPriority w:val="20"/>
    <w:qFormat/>
    <w:rsid w:val="0020241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E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link w:val="a4"/>
    <w:locked/>
    <w:rsid w:val="00AD4826"/>
    <w:rPr>
      <w:b/>
      <w:bCs/>
      <w:shd w:val="clear" w:color="auto" w:fill="FFFFFF"/>
    </w:rPr>
  </w:style>
  <w:style w:type="paragraph" w:customStyle="1" w:styleId="a4">
    <w:name w:val="Подпись к картинке"/>
    <w:basedOn w:val="a"/>
    <w:link w:val="a3"/>
    <w:rsid w:val="00AD4826"/>
    <w:pPr>
      <w:widowControl w:val="0"/>
      <w:shd w:val="clear" w:color="auto" w:fill="FFFFFF"/>
      <w:spacing w:after="0" w:line="240" w:lineRule="auto"/>
    </w:pPr>
    <w:rPr>
      <w:b/>
      <w:bCs/>
    </w:rPr>
  </w:style>
  <w:style w:type="paragraph" w:styleId="a5">
    <w:name w:val="Balloon Text"/>
    <w:basedOn w:val="a"/>
    <w:link w:val="a6"/>
    <w:uiPriority w:val="99"/>
    <w:semiHidden/>
    <w:unhideWhenUsed/>
    <w:rsid w:val="00AD482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D4826"/>
    <w:rPr>
      <w:rFonts w:ascii="Tahoma" w:hAnsi="Tahoma" w:cs="Tahoma"/>
      <w:sz w:val="16"/>
      <w:szCs w:val="16"/>
    </w:rPr>
  </w:style>
  <w:style w:type="character" w:customStyle="1" w:styleId="1">
    <w:name w:val="Заголовок №1_"/>
    <w:basedOn w:val="a0"/>
    <w:link w:val="10"/>
    <w:rsid w:val="00AD4826"/>
    <w:rPr>
      <w:rFonts w:ascii="Times New Roman" w:eastAsia="Times New Roman" w:hAnsi="Times New Roman" w:cs="Times New Roman"/>
      <w:b/>
      <w:bCs/>
      <w:shd w:val="clear" w:color="auto" w:fill="FFFFFF"/>
    </w:rPr>
  </w:style>
  <w:style w:type="paragraph" w:customStyle="1" w:styleId="10">
    <w:name w:val="Заголовок №1"/>
    <w:basedOn w:val="a"/>
    <w:link w:val="1"/>
    <w:rsid w:val="00AD4826"/>
    <w:pPr>
      <w:widowControl w:val="0"/>
      <w:shd w:val="clear" w:color="auto" w:fill="FFFFFF"/>
      <w:spacing w:before="420" w:after="720" w:line="0" w:lineRule="atLeast"/>
      <w:outlineLvl w:val="0"/>
    </w:pPr>
    <w:rPr>
      <w:rFonts w:ascii="Times New Roman" w:eastAsia="Times New Roman" w:hAnsi="Times New Roman" w:cs="Times New Roman"/>
      <w:b/>
      <w:bCs/>
    </w:rPr>
  </w:style>
  <w:style w:type="paragraph" w:styleId="a7">
    <w:name w:val="No Spacing"/>
    <w:qFormat/>
    <w:rsid w:val="00252181"/>
    <w:pPr>
      <w:spacing w:after="0" w:line="240" w:lineRule="auto"/>
    </w:pPr>
    <w:rPr>
      <w:rFonts w:ascii="Calibri" w:eastAsia="Times New Roman" w:hAnsi="Calibri" w:cs="Times New Roman"/>
    </w:rPr>
  </w:style>
  <w:style w:type="character" w:customStyle="1" w:styleId="3">
    <w:name w:val="Основной текст (3)_"/>
    <w:basedOn w:val="a0"/>
    <w:link w:val="30"/>
    <w:rsid w:val="006D7A97"/>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6D7A97"/>
    <w:pPr>
      <w:widowControl w:val="0"/>
      <w:shd w:val="clear" w:color="auto" w:fill="FFFFFF"/>
      <w:spacing w:before="60" w:after="420" w:line="0" w:lineRule="atLeast"/>
    </w:pPr>
    <w:rPr>
      <w:rFonts w:ascii="Times New Roman" w:eastAsia="Times New Roman" w:hAnsi="Times New Roman" w:cs="Times New Roman"/>
      <w:b/>
      <w:bCs/>
      <w:sz w:val="26"/>
      <w:szCs w:val="26"/>
    </w:rPr>
  </w:style>
  <w:style w:type="paragraph" w:styleId="a8">
    <w:name w:val="List Paragraph"/>
    <w:basedOn w:val="a"/>
    <w:uiPriority w:val="34"/>
    <w:qFormat/>
    <w:rsid w:val="00A720B6"/>
    <w:pPr>
      <w:ind w:left="720"/>
      <w:contextualSpacing/>
    </w:pPr>
  </w:style>
  <w:style w:type="paragraph" w:styleId="a9">
    <w:name w:val="header"/>
    <w:basedOn w:val="a"/>
    <w:link w:val="aa"/>
    <w:uiPriority w:val="99"/>
    <w:unhideWhenUsed/>
    <w:rsid w:val="00486FA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86FA6"/>
  </w:style>
  <w:style w:type="paragraph" w:styleId="ab">
    <w:name w:val="footer"/>
    <w:basedOn w:val="a"/>
    <w:link w:val="ac"/>
    <w:uiPriority w:val="99"/>
    <w:unhideWhenUsed/>
    <w:rsid w:val="00486FA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86FA6"/>
  </w:style>
  <w:style w:type="paragraph" w:styleId="ad">
    <w:name w:val="Normal (Web)"/>
    <w:basedOn w:val="a"/>
    <w:semiHidden/>
    <w:unhideWhenUsed/>
    <w:rsid w:val="00D527D4"/>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e">
    <w:name w:val="Emphasis"/>
    <w:basedOn w:val="a0"/>
    <w:uiPriority w:val="20"/>
    <w:qFormat/>
    <w:rsid w:val="002024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25624">
      <w:bodyDiv w:val="1"/>
      <w:marLeft w:val="0"/>
      <w:marRight w:val="0"/>
      <w:marTop w:val="0"/>
      <w:marBottom w:val="0"/>
      <w:divBdr>
        <w:top w:val="none" w:sz="0" w:space="0" w:color="auto"/>
        <w:left w:val="none" w:sz="0" w:space="0" w:color="auto"/>
        <w:bottom w:val="none" w:sz="0" w:space="0" w:color="auto"/>
        <w:right w:val="none" w:sz="0" w:space="0" w:color="auto"/>
      </w:divBdr>
    </w:div>
    <w:div w:id="483857951">
      <w:bodyDiv w:val="1"/>
      <w:marLeft w:val="0"/>
      <w:marRight w:val="0"/>
      <w:marTop w:val="0"/>
      <w:marBottom w:val="0"/>
      <w:divBdr>
        <w:top w:val="none" w:sz="0" w:space="0" w:color="auto"/>
        <w:left w:val="none" w:sz="0" w:space="0" w:color="auto"/>
        <w:bottom w:val="none" w:sz="0" w:space="0" w:color="auto"/>
        <w:right w:val="none" w:sz="0" w:space="0" w:color="auto"/>
      </w:divBdr>
    </w:div>
    <w:div w:id="567805611">
      <w:bodyDiv w:val="1"/>
      <w:marLeft w:val="0"/>
      <w:marRight w:val="0"/>
      <w:marTop w:val="0"/>
      <w:marBottom w:val="0"/>
      <w:divBdr>
        <w:top w:val="none" w:sz="0" w:space="0" w:color="auto"/>
        <w:left w:val="none" w:sz="0" w:space="0" w:color="auto"/>
        <w:bottom w:val="none" w:sz="0" w:space="0" w:color="auto"/>
        <w:right w:val="none" w:sz="0" w:space="0" w:color="auto"/>
      </w:divBdr>
    </w:div>
    <w:div w:id="649753166">
      <w:bodyDiv w:val="1"/>
      <w:marLeft w:val="0"/>
      <w:marRight w:val="0"/>
      <w:marTop w:val="0"/>
      <w:marBottom w:val="0"/>
      <w:divBdr>
        <w:top w:val="none" w:sz="0" w:space="0" w:color="auto"/>
        <w:left w:val="none" w:sz="0" w:space="0" w:color="auto"/>
        <w:bottom w:val="none" w:sz="0" w:space="0" w:color="auto"/>
        <w:right w:val="none" w:sz="0" w:space="0" w:color="auto"/>
      </w:divBdr>
    </w:div>
    <w:div w:id="662011027">
      <w:bodyDiv w:val="1"/>
      <w:marLeft w:val="0"/>
      <w:marRight w:val="0"/>
      <w:marTop w:val="0"/>
      <w:marBottom w:val="0"/>
      <w:divBdr>
        <w:top w:val="none" w:sz="0" w:space="0" w:color="auto"/>
        <w:left w:val="none" w:sz="0" w:space="0" w:color="auto"/>
        <w:bottom w:val="none" w:sz="0" w:space="0" w:color="auto"/>
        <w:right w:val="none" w:sz="0" w:space="0" w:color="auto"/>
      </w:divBdr>
    </w:div>
    <w:div w:id="724063278">
      <w:bodyDiv w:val="1"/>
      <w:marLeft w:val="0"/>
      <w:marRight w:val="0"/>
      <w:marTop w:val="0"/>
      <w:marBottom w:val="0"/>
      <w:divBdr>
        <w:top w:val="none" w:sz="0" w:space="0" w:color="auto"/>
        <w:left w:val="none" w:sz="0" w:space="0" w:color="auto"/>
        <w:bottom w:val="none" w:sz="0" w:space="0" w:color="auto"/>
        <w:right w:val="none" w:sz="0" w:space="0" w:color="auto"/>
      </w:divBdr>
    </w:div>
    <w:div w:id="1304970346">
      <w:bodyDiv w:val="1"/>
      <w:marLeft w:val="0"/>
      <w:marRight w:val="0"/>
      <w:marTop w:val="0"/>
      <w:marBottom w:val="0"/>
      <w:divBdr>
        <w:top w:val="none" w:sz="0" w:space="0" w:color="auto"/>
        <w:left w:val="none" w:sz="0" w:space="0" w:color="auto"/>
        <w:bottom w:val="none" w:sz="0" w:space="0" w:color="auto"/>
        <w:right w:val="none" w:sz="0" w:space="0" w:color="auto"/>
      </w:divBdr>
    </w:div>
    <w:div w:id="1580098257">
      <w:bodyDiv w:val="1"/>
      <w:marLeft w:val="0"/>
      <w:marRight w:val="0"/>
      <w:marTop w:val="0"/>
      <w:marBottom w:val="0"/>
      <w:divBdr>
        <w:top w:val="none" w:sz="0" w:space="0" w:color="auto"/>
        <w:left w:val="none" w:sz="0" w:space="0" w:color="auto"/>
        <w:bottom w:val="none" w:sz="0" w:space="0" w:color="auto"/>
        <w:right w:val="none" w:sz="0" w:space="0" w:color="auto"/>
      </w:divBdr>
    </w:div>
    <w:div w:id="1886985146">
      <w:bodyDiv w:val="1"/>
      <w:marLeft w:val="0"/>
      <w:marRight w:val="0"/>
      <w:marTop w:val="0"/>
      <w:marBottom w:val="0"/>
      <w:divBdr>
        <w:top w:val="none" w:sz="0" w:space="0" w:color="auto"/>
        <w:left w:val="none" w:sz="0" w:space="0" w:color="auto"/>
        <w:bottom w:val="none" w:sz="0" w:space="0" w:color="auto"/>
        <w:right w:val="none" w:sz="0" w:space="0" w:color="auto"/>
      </w:divBdr>
    </w:div>
    <w:div w:id="1895040440">
      <w:bodyDiv w:val="1"/>
      <w:marLeft w:val="0"/>
      <w:marRight w:val="0"/>
      <w:marTop w:val="0"/>
      <w:marBottom w:val="0"/>
      <w:divBdr>
        <w:top w:val="none" w:sz="0" w:space="0" w:color="auto"/>
        <w:left w:val="none" w:sz="0" w:space="0" w:color="auto"/>
        <w:bottom w:val="none" w:sz="0" w:space="0" w:color="auto"/>
        <w:right w:val="none" w:sz="0" w:space="0" w:color="auto"/>
      </w:divBdr>
    </w:div>
    <w:div w:id="2071072978">
      <w:bodyDiv w:val="1"/>
      <w:marLeft w:val="0"/>
      <w:marRight w:val="0"/>
      <w:marTop w:val="0"/>
      <w:marBottom w:val="0"/>
      <w:divBdr>
        <w:top w:val="none" w:sz="0" w:space="0" w:color="auto"/>
        <w:left w:val="none" w:sz="0" w:space="0" w:color="auto"/>
        <w:bottom w:val="none" w:sz="0" w:space="0" w:color="auto"/>
        <w:right w:val="none" w:sz="0" w:space="0" w:color="auto"/>
      </w:divBdr>
    </w:div>
    <w:div w:id="210268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Порівняння кількості звернень</a:t>
            </a:r>
            <a:r>
              <a:rPr lang="ru-RU" baseline="0"/>
              <a:t> </a:t>
            </a:r>
            <a:r>
              <a:rPr lang="ru-RU"/>
              <a:t>громадян за І півріччя 2020 та 2019 рр.</a:t>
            </a:r>
          </a:p>
        </c:rich>
      </c:tx>
      <c:overlay val="0"/>
    </c:title>
    <c:autoTitleDeleted val="0"/>
    <c:plotArea>
      <c:layout/>
      <c:barChart>
        <c:barDir val="col"/>
        <c:grouping val="stacked"/>
        <c:varyColors val="0"/>
        <c:ser>
          <c:idx val="0"/>
          <c:order val="0"/>
          <c:tx>
            <c:strRef>
              <c:f>Лист1!$B$1</c:f>
              <c:strCache>
                <c:ptCount val="1"/>
                <c:pt idx="0">
                  <c:v>Порівняння кількості звернень за І півріччя 2020 та 2019 рр.</c:v>
                </c:pt>
              </c:strCache>
            </c:strRef>
          </c:tx>
          <c:invertIfNegative val="0"/>
          <c:dPt>
            <c:idx val="1"/>
            <c:invertIfNegative val="0"/>
            <c:bubble3D val="0"/>
            <c:spPr>
              <a:solidFill>
                <a:srgbClr val="FF0000"/>
              </a:solidFill>
            </c:spPr>
          </c:dPt>
          <c:dLbls>
            <c:dLbl>
              <c:idx val="0"/>
              <c:layout>
                <c:manualLayout>
                  <c:x val="0"/>
                  <c:y val="-0.30529691680167587"/>
                </c:manualLayout>
              </c:layout>
              <c:dLblPos val="ctr"/>
              <c:showLegendKey val="0"/>
              <c:showVal val="1"/>
              <c:showCatName val="0"/>
              <c:showSerName val="0"/>
              <c:showPercent val="0"/>
              <c:showBubbleSize val="0"/>
            </c:dLbl>
            <c:dLbl>
              <c:idx val="1"/>
              <c:layout>
                <c:manualLayout>
                  <c:x val="-2.3147905573012669E-3"/>
                  <c:y val="-0.38064412107865575"/>
                </c:manualLayout>
              </c:layout>
              <c:dLblPos val="ctr"/>
              <c:showLegendKey val="0"/>
              <c:showVal val="1"/>
              <c:showCatName val="0"/>
              <c:showSerName val="0"/>
              <c:showPercent val="0"/>
              <c:showBubbleSize val="0"/>
            </c:dLbl>
            <c:txPr>
              <a:bodyPr/>
              <a:lstStyle/>
              <a:p>
                <a:pPr>
                  <a:defRPr sz="1600" b="1"/>
                </a:pPr>
                <a:endParaRPr lang="ru-RU"/>
              </a:p>
            </c:txPr>
            <c:dLblPos val="inEnd"/>
            <c:showLegendKey val="0"/>
            <c:showVal val="1"/>
            <c:showCatName val="0"/>
            <c:showSerName val="0"/>
            <c:showPercent val="0"/>
            <c:showBubbleSize val="0"/>
            <c:showLeaderLines val="0"/>
          </c:dLbls>
          <c:cat>
            <c:strRef>
              <c:f>Лист1!$A$2:$A$3</c:f>
              <c:strCache>
                <c:ptCount val="2"/>
                <c:pt idx="0">
                  <c:v>2020 рік</c:v>
                </c:pt>
                <c:pt idx="1">
                  <c:v>2019 рік</c:v>
                </c:pt>
              </c:strCache>
            </c:strRef>
          </c:cat>
          <c:val>
            <c:numRef>
              <c:f>Лист1!$B$2:$B$3</c:f>
              <c:numCache>
                <c:formatCode>General</c:formatCode>
                <c:ptCount val="2"/>
                <c:pt idx="0">
                  <c:v>756</c:v>
                </c:pt>
                <c:pt idx="1">
                  <c:v>1078</c:v>
                </c:pt>
              </c:numCache>
            </c:numRef>
          </c:val>
        </c:ser>
        <c:dLbls>
          <c:showLegendKey val="0"/>
          <c:showVal val="0"/>
          <c:showCatName val="0"/>
          <c:showSerName val="0"/>
          <c:showPercent val="0"/>
          <c:showBubbleSize val="0"/>
        </c:dLbls>
        <c:gapWidth val="75"/>
        <c:overlap val="100"/>
        <c:axId val="235449856"/>
        <c:axId val="216147648"/>
      </c:barChart>
      <c:catAx>
        <c:axId val="235449856"/>
        <c:scaling>
          <c:orientation val="minMax"/>
        </c:scaling>
        <c:delete val="0"/>
        <c:axPos val="b"/>
        <c:numFmt formatCode="General" sourceLinked="1"/>
        <c:majorTickMark val="none"/>
        <c:minorTickMark val="none"/>
        <c:tickLblPos val="nextTo"/>
        <c:txPr>
          <a:bodyPr/>
          <a:lstStyle/>
          <a:p>
            <a:pPr>
              <a:defRPr sz="1400" b="1"/>
            </a:pPr>
            <a:endParaRPr lang="ru-RU"/>
          </a:p>
        </c:txPr>
        <c:crossAx val="216147648"/>
        <c:crosses val="autoZero"/>
        <c:auto val="1"/>
        <c:lblAlgn val="ctr"/>
        <c:lblOffset val="100"/>
        <c:noMultiLvlLbl val="0"/>
      </c:catAx>
      <c:valAx>
        <c:axId val="216147648"/>
        <c:scaling>
          <c:orientation val="minMax"/>
        </c:scaling>
        <c:delete val="1"/>
        <c:axPos val="l"/>
        <c:majorGridlines/>
        <c:numFmt formatCode="General" sourceLinked="1"/>
        <c:majorTickMark val="none"/>
        <c:minorTickMark val="none"/>
        <c:tickLblPos val="none"/>
        <c:crossAx val="235449856"/>
        <c:crosses val="autoZero"/>
        <c:crossBetween val="between"/>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Лист1!$B$1</c:f>
              <c:strCache>
                <c:ptCount val="1"/>
                <c:pt idx="0">
                  <c:v>Надійшло звернень за І півріччя 2020 року</c:v>
                </c:pt>
              </c:strCache>
            </c:strRef>
          </c:tx>
          <c:explosion val="25"/>
          <c:dLbls>
            <c:dLbl>
              <c:idx val="0"/>
              <c:layout>
                <c:manualLayout>
                  <c:x val="1.8518518518518545E-2"/>
                  <c:y val="9.1269841269841251E-2"/>
                </c:manualLayout>
              </c:layout>
              <c:dLblPos val="bestFit"/>
              <c:showLegendKey val="0"/>
              <c:showVal val="1"/>
              <c:showCatName val="0"/>
              <c:showSerName val="0"/>
              <c:showPercent val="0"/>
              <c:showBubbleSize val="0"/>
            </c:dLbl>
            <c:dLbl>
              <c:idx val="1"/>
              <c:layout>
                <c:manualLayout>
                  <c:x val="-5.7870370370370385E-2"/>
                  <c:y val="4.3650793650793704E-2"/>
                </c:manualLayout>
              </c:layout>
              <c:dLblPos val="bestFit"/>
              <c:showLegendKey val="0"/>
              <c:showVal val="1"/>
              <c:showCatName val="0"/>
              <c:showSerName val="0"/>
              <c:showPercent val="0"/>
              <c:showBubbleSize val="0"/>
            </c:dLbl>
            <c:dLbl>
              <c:idx val="2"/>
              <c:layout>
                <c:manualLayout>
                  <c:x val="-5.3240740740740707E-2"/>
                  <c:y val="-2.3809523809523832E-2"/>
                </c:manualLayout>
              </c:layout>
              <c:dLblPos val="bestFit"/>
              <c:showLegendKey val="0"/>
              <c:showVal val="1"/>
              <c:showCatName val="0"/>
              <c:showSerName val="0"/>
              <c:showPercent val="0"/>
              <c:showBubbleSize val="0"/>
            </c:dLbl>
            <c:dLbl>
              <c:idx val="3"/>
              <c:layout>
                <c:manualLayout>
                  <c:x val="-3.0092592592592591E-2"/>
                  <c:y val="-3.9682539682539729E-2"/>
                </c:manualLayout>
              </c:layout>
              <c:dLblPos val="bestFit"/>
              <c:showLegendKey val="0"/>
              <c:showVal val="1"/>
              <c:showCatName val="0"/>
              <c:showSerName val="0"/>
              <c:showPercent val="0"/>
              <c:showBubbleSize val="0"/>
            </c:dLbl>
            <c:txPr>
              <a:bodyPr/>
              <a:lstStyle/>
              <a:p>
                <a:pPr>
                  <a:defRPr sz="1400" b="1"/>
                </a:pPr>
                <a:endParaRPr lang="ru-RU"/>
              </a:p>
            </c:txPr>
            <c:dLblPos val="outEnd"/>
            <c:showLegendKey val="0"/>
            <c:showVal val="1"/>
            <c:showCatName val="0"/>
            <c:showSerName val="0"/>
            <c:showPercent val="0"/>
            <c:showBubbleSize val="0"/>
            <c:showLeaderLines val="1"/>
          </c:dLbls>
          <c:cat>
            <c:strRef>
              <c:f>Лист1!$A$2:$A$5</c:f>
              <c:strCache>
                <c:ptCount val="4"/>
                <c:pt idx="0">
                  <c:v>Поштою</c:v>
                </c:pt>
                <c:pt idx="1">
                  <c:v>Особисті прийоми</c:v>
                </c:pt>
                <c:pt idx="2">
                  <c:v>Кіровоградська ОДА</c:v>
                </c:pt>
                <c:pt idx="3">
                  <c:v>Обласний контактний центр</c:v>
                </c:pt>
              </c:strCache>
            </c:strRef>
          </c:cat>
          <c:val>
            <c:numRef>
              <c:f>Лист1!$B$2:$B$5</c:f>
              <c:numCache>
                <c:formatCode>General</c:formatCode>
                <c:ptCount val="4"/>
                <c:pt idx="0">
                  <c:v>504</c:v>
                </c:pt>
                <c:pt idx="1">
                  <c:v>41</c:v>
                </c:pt>
                <c:pt idx="2">
                  <c:v>13</c:v>
                </c:pt>
                <c:pt idx="3">
                  <c:v>198</c:v>
                </c:pt>
              </c:numCache>
            </c:numRef>
          </c:val>
        </c:ser>
        <c:dLbls>
          <c:showLegendKey val="0"/>
          <c:showVal val="0"/>
          <c:showCatName val="0"/>
          <c:showSerName val="0"/>
          <c:showPercent val="0"/>
          <c:showBubbleSize val="0"/>
          <c:showLeaderLines val="1"/>
        </c:dLbls>
        <c:firstSliceAng val="0"/>
      </c:pieChart>
    </c:plotArea>
    <c:legend>
      <c:legendPos val="r"/>
      <c:overlay val="0"/>
      <c:txPr>
        <a:bodyPr/>
        <a:lstStyle/>
        <a:p>
          <a:pPr>
            <a:defRPr sz="1200" b="1"/>
          </a:pPr>
          <a:endParaRPr lang="ru-RU"/>
        </a:p>
      </c:txPr>
    </c:legend>
    <c:plotVisOnly val="1"/>
    <c:dispBlanksAs val="zero"/>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a:pPr>
            <a:r>
              <a:rPr lang="uk-UA" sz="1800"/>
              <a:t>Основні питання, що порушувались у зверненнях громадян протягом І півріччя 2020 року</a:t>
            </a:r>
            <a:endParaRPr lang="ru-RU" sz="1800"/>
          </a:p>
        </c:rich>
      </c:tx>
      <c:layout>
        <c:manualLayout>
          <c:xMode val="edge"/>
          <c:yMode val="edge"/>
          <c:x val="0.1508990536912232"/>
          <c:y val="2.1481482264562642E-2"/>
        </c:manualLayout>
      </c:layout>
      <c:overlay val="0"/>
    </c:title>
    <c:autoTitleDeleted val="0"/>
    <c:view3D>
      <c:rotX val="15"/>
      <c:rotY val="20"/>
      <c:rAngAx val="1"/>
    </c:view3D>
    <c:floor>
      <c:thickness val="0"/>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Лист1!$B$1</c:f>
              <c:strCache>
                <c:ptCount val="1"/>
                <c:pt idx="0">
                  <c:v>2020 рік</c:v>
                </c:pt>
              </c:strCache>
            </c:strRef>
          </c:tx>
          <c:invertIfNegative val="0"/>
          <c:cat>
            <c:strRef>
              <c:f>Лист1!$A$2:$A$20</c:f>
              <c:strCache>
                <c:ptCount val="19"/>
                <c:pt idx="0">
                  <c:v>аграрна політика і земельні відносини </c:v>
                </c:pt>
                <c:pt idx="1">
                  <c:v>транспорт і зв`язок </c:v>
                </c:pt>
                <c:pt idx="2">
                  <c:v>економічна, цінова, інвестиційна, зовнішньоекономічна, регіональна політика та будівництво, підприємництво </c:v>
                </c:pt>
                <c:pt idx="3">
                  <c:v>фінансова, податкова, митна політика </c:v>
                </c:pt>
                <c:pt idx="4">
                  <c:v>соціальна політика, соціальний захист </c:v>
                </c:pt>
                <c:pt idx="5">
                  <c:v>праця і заробітна плата </c:v>
                </c:pt>
                <c:pt idx="6">
                  <c:v>охорона здоров’я </c:v>
                </c:pt>
                <c:pt idx="7">
                  <c:v>комунальне господарство </c:v>
                </c:pt>
                <c:pt idx="8">
                  <c:v>житлова політика </c:v>
                </c:pt>
                <c:pt idx="9">
                  <c:v>екологія та природні ресурси </c:v>
                </c:pt>
                <c:pt idx="10">
                  <c:v>забезпечення дотримання законності та охорони правопорядку, реалізації прав і свобод громадян, запобігання дискримінації</c:v>
                </c:pt>
                <c:pt idx="11">
                  <c:v>сімейна та гендерна політика, захист прав дітей </c:v>
                </c:pt>
                <c:pt idx="12">
                  <c:v>молодь, фізична культура і спорт </c:v>
                </c:pt>
                <c:pt idx="13">
                  <c:v>культура та культурна спадщина, туризм</c:v>
                </c:pt>
                <c:pt idx="14">
                  <c:v>освіта, наукова, науково-технічна, інноваційна діяльність та інтелектуальна власність </c:v>
                </c:pt>
                <c:pt idx="15">
                  <c:v>інформаційна політика, діяльність засобів масової інформації </c:v>
                </c:pt>
                <c:pt idx="16">
                  <c:v>діяльність об’єднань громадян, релігія та міжконфесійні відносини </c:v>
                </c:pt>
                <c:pt idx="17">
                  <c:v>діяльність органів місцевого самоврядування </c:v>
                </c:pt>
                <c:pt idx="18">
                  <c:v>інше </c:v>
                </c:pt>
              </c:strCache>
            </c:strRef>
          </c:cat>
          <c:val>
            <c:numRef>
              <c:f>Лист1!$B$2:$B$20</c:f>
              <c:numCache>
                <c:formatCode>General</c:formatCode>
                <c:ptCount val="19"/>
                <c:pt idx="0">
                  <c:v>95</c:v>
                </c:pt>
                <c:pt idx="1">
                  <c:v>10</c:v>
                </c:pt>
                <c:pt idx="2">
                  <c:v>27</c:v>
                </c:pt>
                <c:pt idx="3">
                  <c:v>1</c:v>
                </c:pt>
                <c:pt idx="4">
                  <c:v>328</c:v>
                </c:pt>
                <c:pt idx="5">
                  <c:v>58</c:v>
                </c:pt>
                <c:pt idx="6">
                  <c:v>63</c:v>
                </c:pt>
                <c:pt idx="7">
                  <c:v>86</c:v>
                </c:pt>
                <c:pt idx="8">
                  <c:v>25</c:v>
                </c:pt>
                <c:pt idx="9">
                  <c:v>4</c:v>
                </c:pt>
                <c:pt idx="10">
                  <c:v>13</c:v>
                </c:pt>
                <c:pt idx="11">
                  <c:v>9</c:v>
                </c:pt>
                <c:pt idx="12">
                  <c:v>0</c:v>
                </c:pt>
                <c:pt idx="13">
                  <c:v>1</c:v>
                </c:pt>
                <c:pt idx="14">
                  <c:v>1</c:v>
                </c:pt>
                <c:pt idx="15">
                  <c:v>1</c:v>
                </c:pt>
                <c:pt idx="16">
                  <c:v>0</c:v>
                </c:pt>
                <c:pt idx="17">
                  <c:v>2</c:v>
                </c:pt>
                <c:pt idx="18">
                  <c:v>39</c:v>
                </c:pt>
              </c:numCache>
            </c:numRef>
          </c:val>
        </c:ser>
        <c:ser>
          <c:idx val="1"/>
          <c:order val="1"/>
          <c:tx>
            <c:strRef>
              <c:f>Лист1!$C$1</c:f>
              <c:strCache>
                <c:ptCount val="1"/>
                <c:pt idx="0">
                  <c:v>2019 рік</c:v>
                </c:pt>
              </c:strCache>
            </c:strRef>
          </c:tx>
          <c:invertIfNegative val="0"/>
          <c:cat>
            <c:strRef>
              <c:f>Лист1!$A$2:$A$20</c:f>
              <c:strCache>
                <c:ptCount val="19"/>
                <c:pt idx="0">
                  <c:v>аграрна політика і земельні відносини </c:v>
                </c:pt>
                <c:pt idx="1">
                  <c:v>транспорт і зв`язок </c:v>
                </c:pt>
                <c:pt idx="2">
                  <c:v>економічна, цінова, інвестиційна, зовнішньоекономічна, регіональна політика та будівництво, підприємництво </c:v>
                </c:pt>
                <c:pt idx="3">
                  <c:v>фінансова, податкова, митна політика </c:v>
                </c:pt>
                <c:pt idx="4">
                  <c:v>соціальна політика, соціальний захист </c:v>
                </c:pt>
                <c:pt idx="5">
                  <c:v>праця і заробітна плата </c:v>
                </c:pt>
                <c:pt idx="6">
                  <c:v>охорона здоров’я </c:v>
                </c:pt>
                <c:pt idx="7">
                  <c:v>комунальне господарство </c:v>
                </c:pt>
                <c:pt idx="8">
                  <c:v>житлова політика </c:v>
                </c:pt>
                <c:pt idx="9">
                  <c:v>екологія та природні ресурси </c:v>
                </c:pt>
                <c:pt idx="10">
                  <c:v>забезпечення дотримання законності та охорони правопорядку, реалізації прав і свобод громадян, запобігання дискримінації</c:v>
                </c:pt>
                <c:pt idx="11">
                  <c:v>сімейна та гендерна політика, захист прав дітей </c:v>
                </c:pt>
                <c:pt idx="12">
                  <c:v>молодь, фізична культура і спорт </c:v>
                </c:pt>
                <c:pt idx="13">
                  <c:v>культура та культурна спадщина, туризм</c:v>
                </c:pt>
                <c:pt idx="14">
                  <c:v>освіта, наукова, науково-технічна, інноваційна діяльність та інтелектуальна власність </c:v>
                </c:pt>
                <c:pt idx="15">
                  <c:v>інформаційна політика, діяльність засобів масової інформації </c:v>
                </c:pt>
                <c:pt idx="16">
                  <c:v>діяльність об’єднань громадян, релігія та міжконфесійні відносини </c:v>
                </c:pt>
                <c:pt idx="17">
                  <c:v>діяльність органів місцевого самоврядування </c:v>
                </c:pt>
                <c:pt idx="18">
                  <c:v>інше </c:v>
                </c:pt>
              </c:strCache>
            </c:strRef>
          </c:cat>
          <c:val>
            <c:numRef>
              <c:f>Лист1!$C$2:$C$20</c:f>
              <c:numCache>
                <c:formatCode>General</c:formatCode>
                <c:ptCount val="19"/>
                <c:pt idx="0">
                  <c:v>82</c:v>
                </c:pt>
                <c:pt idx="1">
                  <c:v>13</c:v>
                </c:pt>
                <c:pt idx="2">
                  <c:v>23</c:v>
                </c:pt>
                <c:pt idx="3">
                  <c:v>10</c:v>
                </c:pt>
                <c:pt idx="4">
                  <c:v>505</c:v>
                </c:pt>
                <c:pt idx="5">
                  <c:v>60</c:v>
                </c:pt>
                <c:pt idx="6">
                  <c:v>38</c:v>
                </c:pt>
                <c:pt idx="7">
                  <c:v>228</c:v>
                </c:pt>
                <c:pt idx="8">
                  <c:v>49</c:v>
                </c:pt>
                <c:pt idx="9">
                  <c:v>6</c:v>
                </c:pt>
                <c:pt idx="10">
                  <c:v>10</c:v>
                </c:pt>
                <c:pt idx="11">
                  <c:v>18</c:v>
                </c:pt>
                <c:pt idx="12">
                  <c:v>5</c:v>
                </c:pt>
                <c:pt idx="13">
                  <c:v>3</c:v>
                </c:pt>
                <c:pt idx="14">
                  <c:v>9</c:v>
                </c:pt>
                <c:pt idx="15">
                  <c:v>2</c:v>
                </c:pt>
                <c:pt idx="16">
                  <c:v>1</c:v>
                </c:pt>
                <c:pt idx="17">
                  <c:v>2</c:v>
                </c:pt>
                <c:pt idx="18">
                  <c:v>32</c:v>
                </c:pt>
              </c:numCache>
            </c:numRef>
          </c:val>
        </c:ser>
        <c:dLbls>
          <c:showLegendKey val="0"/>
          <c:showVal val="0"/>
          <c:showCatName val="0"/>
          <c:showSerName val="0"/>
          <c:showPercent val="0"/>
          <c:showBubbleSize val="0"/>
        </c:dLbls>
        <c:gapWidth val="150"/>
        <c:shape val="box"/>
        <c:axId val="235446784"/>
        <c:axId val="131598016"/>
        <c:axId val="0"/>
      </c:bar3DChart>
      <c:catAx>
        <c:axId val="235446784"/>
        <c:scaling>
          <c:orientation val="minMax"/>
        </c:scaling>
        <c:delete val="0"/>
        <c:axPos val="b"/>
        <c:majorTickMark val="none"/>
        <c:minorTickMark val="none"/>
        <c:tickLblPos val="nextTo"/>
        <c:crossAx val="131598016"/>
        <c:crosses val="autoZero"/>
        <c:auto val="1"/>
        <c:lblAlgn val="ctr"/>
        <c:lblOffset val="100"/>
        <c:noMultiLvlLbl val="0"/>
      </c:catAx>
      <c:valAx>
        <c:axId val="131598016"/>
        <c:scaling>
          <c:orientation val="minMax"/>
        </c:scaling>
        <c:delete val="1"/>
        <c:axPos val="l"/>
        <c:majorGridlines/>
        <c:numFmt formatCode="General" sourceLinked="1"/>
        <c:majorTickMark val="none"/>
        <c:minorTickMark val="none"/>
        <c:tickLblPos val="none"/>
        <c:crossAx val="235446784"/>
        <c:crosses val="autoZero"/>
        <c:crossBetween val="between"/>
      </c:valAx>
      <c:dTable>
        <c:showHorzBorder val="1"/>
        <c:showVertBorder val="1"/>
        <c:showOutline val="1"/>
        <c:showKeys val="1"/>
        <c:txPr>
          <a:bodyPr/>
          <a:lstStyle/>
          <a:p>
            <a:pPr rtl="0">
              <a:defRPr sz="800"/>
            </a:pPr>
            <a:endParaRPr lang="ru-RU"/>
          </a:p>
        </c:txPr>
      </c:dTable>
    </c:plotArea>
    <c:plotVisOnly val="1"/>
    <c:dispBlanksAs val="gap"/>
    <c:showDLblsOverMax val="0"/>
  </c:chart>
  <c:spPr>
    <a:noFill/>
    <a:ln>
      <a:noFill/>
    </a:ln>
  </c:spPr>
  <c:txPr>
    <a:bodyPr/>
    <a:lstStyle/>
    <a:p>
      <a:pPr>
        <a:defRPr b="1"/>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a:pPr>
          <a:endParaRPr lang="ru-RU"/>
        </a:p>
      </c:txPr>
    </c:title>
    <c:autoTitleDeleted val="0"/>
    <c:plotArea>
      <c:layout/>
      <c:pieChart>
        <c:varyColors val="1"/>
        <c:ser>
          <c:idx val="0"/>
          <c:order val="0"/>
          <c:tx>
            <c:strRef>
              <c:f>Лист1!$B$1</c:f>
              <c:strCache>
                <c:ptCount val="1"/>
                <c:pt idx="0">
                  <c:v>Соціальний стан авторів звернень</c:v>
                </c:pt>
              </c:strCache>
            </c:strRef>
          </c:tx>
          <c:explosion val="25"/>
          <c:dLbls>
            <c:dLbl>
              <c:idx val="0"/>
              <c:layout>
                <c:manualLayout>
                  <c:x val="5.0673393732269298E-2"/>
                  <c:y val="-6.2164397910884718E-2"/>
                </c:manualLayout>
              </c:layout>
              <c:dLblPos val="bestFit"/>
              <c:showLegendKey val="0"/>
              <c:showVal val="1"/>
              <c:showCatName val="0"/>
              <c:showSerName val="0"/>
              <c:showPercent val="0"/>
              <c:showBubbleSize val="0"/>
            </c:dLbl>
            <c:dLbl>
              <c:idx val="1"/>
              <c:layout>
                <c:manualLayout>
                  <c:x val="3.8608299986490895E-2"/>
                  <c:y val="-7.992565445685175E-2"/>
                </c:manualLayout>
              </c:layout>
              <c:dLblPos val="bestFit"/>
              <c:showLegendKey val="0"/>
              <c:showVal val="1"/>
              <c:showCatName val="0"/>
              <c:showSerName val="0"/>
              <c:showPercent val="0"/>
              <c:showBubbleSize val="0"/>
            </c:dLbl>
            <c:dLbl>
              <c:idx val="2"/>
              <c:layout>
                <c:manualLayout>
                  <c:x val="4.1021318735646566E-2"/>
                  <c:y val="0"/>
                </c:manualLayout>
              </c:layout>
              <c:dLblPos val="bestFit"/>
              <c:showLegendKey val="0"/>
              <c:showVal val="1"/>
              <c:showCatName val="0"/>
              <c:showSerName val="0"/>
              <c:showPercent val="0"/>
              <c:showBubbleSize val="0"/>
            </c:dLbl>
            <c:dLbl>
              <c:idx val="3"/>
              <c:layout>
                <c:manualLayout>
                  <c:x val="3.1369243739023889E-2"/>
                  <c:y val="0.10656753927580224"/>
                </c:manualLayout>
              </c:layout>
              <c:dLblPos val="bestFit"/>
              <c:showLegendKey val="0"/>
              <c:showVal val="1"/>
              <c:showCatName val="0"/>
              <c:showSerName val="0"/>
              <c:showPercent val="0"/>
              <c:showBubbleSize val="0"/>
            </c:dLbl>
            <c:dLbl>
              <c:idx val="4"/>
              <c:layout>
                <c:manualLayout>
                  <c:x val="-7.2390562474670461E-2"/>
                  <c:y val="0"/>
                </c:manualLayout>
              </c:layout>
              <c:dLblPos val="bestFit"/>
              <c:showLegendKey val="0"/>
              <c:showVal val="1"/>
              <c:showCatName val="0"/>
              <c:showSerName val="0"/>
              <c:showPercent val="0"/>
              <c:showBubbleSize val="0"/>
            </c:dLbl>
            <c:txPr>
              <a:bodyPr/>
              <a:lstStyle/>
              <a:p>
                <a:pPr>
                  <a:defRPr sz="1200" b="1"/>
                </a:pPr>
                <a:endParaRPr lang="ru-RU"/>
              </a:p>
            </c:txPr>
            <c:dLblPos val="outEnd"/>
            <c:showLegendKey val="0"/>
            <c:showVal val="1"/>
            <c:showCatName val="0"/>
            <c:showSerName val="0"/>
            <c:showPercent val="0"/>
            <c:showBubbleSize val="0"/>
            <c:showLeaderLines val="1"/>
          </c:dLbls>
          <c:cat>
            <c:strRef>
              <c:f>Лист1!$A$2:$A$6</c:f>
              <c:strCache>
                <c:ptCount val="5"/>
                <c:pt idx="0">
                  <c:v>Пенсіонери</c:v>
                </c:pt>
                <c:pt idx="1">
                  <c:v>Робітники</c:v>
                </c:pt>
                <c:pt idx="2">
                  <c:v>Підприємці</c:v>
                </c:pt>
                <c:pt idx="3">
                  <c:v>Безробітні</c:v>
                </c:pt>
                <c:pt idx="4">
                  <c:v>Інші</c:v>
                </c:pt>
              </c:strCache>
            </c:strRef>
          </c:cat>
          <c:val>
            <c:numRef>
              <c:f>Лист1!$B$2:$B$6</c:f>
              <c:numCache>
                <c:formatCode>General</c:formatCode>
                <c:ptCount val="5"/>
                <c:pt idx="0">
                  <c:v>177</c:v>
                </c:pt>
                <c:pt idx="1">
                  <c:v>35</c:v>
                </c:pt>
                <c:pt idx="2">
                  <c:v>8</c:v>
                </c:pt>
                <c:pt idx="3">
                  <c:v>18</c:v>
                </c:pt>
                <c:pt idx="4">
                  <c:v>518</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6110886381587284"/>
          <c:y val="0.30104229311478203"/>
          <c:w val="0.22200000494003838"/>
          <c:h val="0.50883727402472168"/>
        </c:manualLayout>
      </c:layout>
      <c:overlay val="0"/>
      <c:txPr>
        <a:bodyPr/>
        <a:lstStyle/>
        <a:p>
          <a:pPr>
            <a:defRPr sz="1400" b="1"/>
          </a:pPr>
          <a:endParaRPr lang="ru-RU"/>
        </a:p>
      </c:txPr>
    </c:legend>
    <c:plotVisOnly val="1"/>
    <c:dispBlanksAs val="zero"/>
    <c:showDLblsOverMax val="0"/>
  </c:chart>
  <c:spPr>
    <a:noFill/>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27292705109103621"/>
          <c:y val="0"/>
        </c:manualLayout>
      </c:layout>
      <c:overlay val="0"/>
    </c:title>
    <c:autoTitleDeleted val="0"/>
    <c:plotArea>
      <c:layout>
        <c:manualLayout>
          <c:layoutTarget val="inner"/>
          <c:xMode val="edge"/>
          <c:yMode val="edge"/>
          <c:x val="6.1217632769163623E-2"/>
          <c:y val="0.24547584863318242"/>
          <c:w val="0.46866472192706166"/>
          <c:h val="0.71963614068157467"/>
        </c:manualLayout>
      </c:layout>
      <c:pieChart>
        <c:varyColors val="1"/>
        <c:ser>
          <c:idx val="0"/>
          <c:order val="0"/>
          <c:tx>
            <c:strRef>
              <c:f>Лист1!$B$1</c:f>
              <c:strCache>
                <c:ptCount val="1"/>
                <c:pt idx="0">
                  <c:v>Категорії авторів звернень</c:v>
                </c:pt>
              </c:strCache>
            </c:strRef>
          </c:tx>
          <c:explosion val="25"/>
          <c:dLbls>
            <c:dLbl>
              <c:idx val="0"/>
              <c:layout>
                <c:manualLayout>
                  <c:x val="-5.8061176835829134E-2"/>
                  <c:y val="8.3980469093767364E-3"/>
                </c:manualLayout>
              </c:layout>
              <c:dLblPos val="bestFit"/>
              <c:showLegendKey val="0"/>
              <c:showVal val="1"/>
              <c:showCatName val="0"/>
              <c:showSerName val="0"/>
              <c:showPercent val="0"/>
              <c:showBubbleSize val="0"/>
            </c:dLbl>
            <c:dLbl>
              <c:idx val="1"/>
              <c:layout>
                <c:manualLayout>
                  <c:x val="-4.4229853276956013E-2"/>
                  <c:y val="-4.8150542137414307E-2"/>
                </c:manualLayout>
              </c:layout>
              <c:dLblPos val="bestFit"/>
              <c:showLegendKey val="0"/>
              <c:showVal val="1"/>
              <c:showCatName val="0"/>
              <c:showSerName val="0"/>
              <c:showPercent val="0"/>
              <c:showBubbleSize val="0"/>
            </c:dLbl>
            <c:dLbl>
              <c:idx val="2"/>
              <c:layout>
                <c:manualLayout>
                  <c:x val="4.2122011375380934E-3"/>
                  <c:y val="-6.3852043370993122E-2"/>
                </c:manualLayout>
              </c:layout>
              <c:dLblPos val="bestFit"/>
              <c:showLegendKey val="0"/>
              <c:showVal val="1"/>
              <c:showCatName val="0"/>
              <c:showSerName val="0"/>
              <c:showPercent val="0"/>
              <c:showBubbleSize val="0"/>
            </c:dLbl>
            <c:dLbl>
              <c:idx val="3"/>
              <c:layout>
                <c:manualLayout>
                  <c:x val="2.504617019554671E-2"/>
                  <c:y val="-3.5780158954143639E-2"/>
                </c:manualLayout>
              </c:layout>
              <c:dLblPos val="bestFit"/>
              <c:showLegendKey val="0"/>
              <c:showVal val="1"/>
              <c:showCatName val="0"/>
              <c:showSerName val="0"/>
              <c:showPercent val="0"/>
              <c:showBubbleSize val="0"/>
            </c:dLbl>
            <c:dLbl>
              <c:idx val="4"/>
              <c:layout>
                <c:manualLayout>
                  <c:x val="2.5137382866346602E-2"/>
                  <c:y val="-2.2148278300240645E-2"/>
                </c:manualLayout>
              </c:layout>
              <c:dLblPos val="bestFit"/>
              <c:showLegendKey val="0"/>
              <c:showVal val="1"/>
              <c:showCatName val="0"/>
              <c:showSerName val="0"/>
              <c:showPercent val="0"/>
              <c:showBubbleSize val="0"/>
            </c:dLbl>
            <c:dLbl>
              <c:idx val="5"/>
              <c:layout>
                <c:manualLayout>
                  <c:x val="2.0605867674958894E-3"/>
                  <c:y val="-2.2148261809894182E-2"/>
                </c:manualLayout>
              </c:layout>
              <c:dLblPos val="bestFit"/>
              <c:showLegendKey val="0"/>
              <c:showVal val="1"/>
              <c:showCatName val="0"/>
              <c:showSerName val="0"/>
              <c:showPercent val="0"/>
              <c:showBubbleSize val="0"/>
            </c:dLbl>
            <c:dLbl>
              <c:idx val="6"/>
              <c:layout>
                <c:manualLayout>
                  <c:x val="1.4560859084052349E-2"/>
                  <c:y val="-8.9568748122320269E-2"/>
                </c:manualLayout>
              </c:layout>
              <c:dLblPos val="bestFit"/>
              <c:showLegendKey val="0"/>
              <c:showVal val="1"/>
              <c:showCatName val="0"/>
              <c:showSerName val="0"/>
              <c:showPercent val="0"/>
              <c:showBubbleSize val="0"/>
            </c:dLbl>
            <c:dLbl>
              <c:idx val="7"/>
              <c:layout>
                <c:manualLayout>
                  <c:x val="3.5166796465061233E-2"/>
                  <c:y val="-9.3826946945489306E-2"/>
                </c:manualLayout>
              </c:layout>
              <c:dLblPos val="bestFit"/>
              <c:showLegendKey val="0"/>
              <c:showVal val="1"/>
              <c:showCatName val="0"/>
              <c:showSerName val="0"/>
              <c:showPercent val="0"/>
              <c:showBubbleSize val="0"/>
            </c:dLbl>
            <c:dLbl>
              <c:idx val="8"/>
              <c:layout>
                <c:manualLayout>
                  <c:x val="4.3819562099576374E-2"/>
                  <c:y val="-4.4296556600481304E-2"/>
                </c:manualLayout>
              </c:layout>
              <c:dLblPos val="bestFit"/>
              <c:showLegendKey val="0"/>
              <c:showVal val="1"/>
              <c:showCatName val="0"/>
              <c:showSerName val="0"/>
              <c:showPercent val="0"/>
              <c:showBubbleSize val="0"/>
            </c:dLbl>
            <c:dLbl>
              <c:idx val="9"/>
              <c:layout>
                <c:manualLayout>
                  <c:x val="8.5350349526954708E-2"/>
                  <c:y val="-2.4216381562775956E-2"/>
                </c:manualLayout>
              </c:layout>
              <c:dLblPos val="bestFit"/>
              <c:showLegendKey val="0"/>
              <c:showVal val="1"/>
              <c:showCatName val="0"/>
              <c:showSerName val="0"/>
              <c:showPercent val="0"/>
              <c:showBubbleSize val="0"/>
            </c:dLbl>
            <c:dLbl>
              <c:idx val="10"/>
              <c:layout>
                <c:manualLayout>
                  <c:x val="3.2969388279934196E-2"/>
                  <c:y val="3.7968448816961431E-2"/>
                </c:manualLayout>
              </c:layout>
              <c:dLblPos val="bestFit"/>
              <c:showLegendKey val="0"/>
              <c:showVal val="1"/>
              <c:showCatName val="0"/>
              <c:showSerName val="0"/>
              <c:showPercent val="0"/>
              <c:showBubbleSize val="0"/>
            </c:dLbl>
            <c:dLbl>
              <c:idx val="11"/>
              <c:layout>
                <c:manualLayout>
                  <c:x val="-8.0034943097288092E-2"/>
                  <c:y val="-5.3837934132146284E-2"/>
                </c:manualLayout>
              </c:layout>
              <c:dLblPos val="bestFit"/>
              <c:showLegendKey val="0"/>
              <c:showVal val="1"/>
              <c:showCatName val="0"/>
              <c:showSerName val="0"/>
              <c:showPercent val="0"/>
              <c:showBubbleSize val="0"/>
            </c:dLbl>
            <c:txPr>
              <a:bodyPr/>
              <a:lstStyle/>
              <a:p>
                <a:pPr>
                  <a:defRPr b="1"/>
                </a:pPr>
                <a:endParaRPr lang="ru-RU"/>
              </a:p>
            </c:txPr>
            <c:dLblPos val="outEnd"/>
            <c:showLegendKey val="0"/>
            <c:showVal val="1"/>
            <c:showCatName val="0"/>
            <c:showSerName val="0"/>
            <c:showPercent val="0"/>
            <c:showBubbleSize val="0"/>
            <c:showLeaderLines val="1"/>
          </c:dLbls>
          <c:cat>
            <c:strRef>
              <c:f>Лист1!$A$2:$A$13</c:f>
              <c:strCache>
                <c:ptCount val="12"/>
                <c:pt idx="0">
                  <c:v>Учасники війни</c:v>
                </c:pt>
                <c:pt idx="1">
                  <c:v>Діти війни</c:v>
                </c:pt>
                <c:pt idx="2">
                  <c:v>Учасники бойових дій</c:v>
                </c:pt>
                <c:pt idx="3">
                  <c:v>Ветерани праці</c:v>
                </c:pt>
                <c:pt idx="4">
                  <c:v>осіб з інвалідністю І групи </c:v>
                </c:pt>
                <c:pt idx="5">
                  <c:v>осіб з інвалідністю ІІ групи </c:v>
                </c:pt>
                <c:pt idx="6">
                  <c:v>осіб з інвалідністю ІІІ групи</c:v>
                </c:pt>
                <c:pt idx="7">
                  <c:v>одиноких матерів </c:v>
                </c:pt>
                <c:pt idx="8">
                  <c:v>матерів героїнь </c:v>
                </c:pt>
                <c:pt idx="9">
                  <c:v>багатодітних сімей</c:v>
                </c:pt>
                <c:pt idx="10">
                  <c:v>учасників ліквідації наслідків аварії на ЧАЕС </c:v>
                </c:pt>
                <c:pt idx="11">
                  <c:v>інших категорій</c:v>
                </c:pt>
              </c:strCache>
            </c:strRef>
          </c:cat>
          <c:val>
            <c:numRef>
              <c:f>Лист1!$B$2:$B$13</c:f>
              <c:numCache>
                <c:formatCode>General</c:formatCode>
                <c:ptCount val="12"/>
                <c:pt idx="0">
                  <c:v>1</c:v>
                </c:pt>
                <c:pt idx="1">
                  <c:v>5</c:v>
                </c:pt>
                <c:pt idx="2">
                  <c:v>7</c:v>
                </c:pt>
                <c:pt idx="3">
                  <c:v>7</c:v>
                </c:pt>
                <c:pt idx="4">
                  <c:v>24</c:v>
                </c:pt>
                <c:pt idx="5">
                  <c:v>28</c:v>
                </c:pt>
                <c:pt idx="6">
                  <c:v>26</c:v>
                </c:pt>
                <c:pt idx="7">
                  <c:v>9</c:v>
                </c:pt>
                <c:pt idx="8">
                  <c:v>1</c:v>
                </c:pt>
                <c:pt idx="9">
                  <c:v>5</c:v>
                </c:pt>
                <c:pt idx="10">
                  <c:v>3</c:v>
                </c:pt>
                <c:pt idx="11">
                  <c:v>640</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6479758084096086"/>
          <c:y val="0.10020362396025857"/>
          <c:w val="0.3330962356696609"/>
          <c:h val="0.89894849922161635"/>
        </c:manualLayout>
      </c:layout>
      <c:overlay val="0"/>
      <c:txPr>
        <a:bodyPr/>
        <a:lstStyle/>
        <a:p>
          <a:pPr>
            <a:defRPr sz="900" b="1"/>
          </a:pPr>
          <a:endParaRPr lang="ru-RU"/>
        </a:p>
      </c:txPr>
    </c:legend>
    <c:plotVisOnly val="1"/>
    <c:dispBlanksAs val="zero"/>
    <c:showDLblsOverMax val="0"/>
  </c:chart>
  <c:spPr>
    <a:noFill/>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2020 рік</c:v>
                </c:pt>
              </c:strCache>
            </c:strRef>
          </c:tx>
          <c:invertIfNegative val="0"/>
          <c:dLbls>
            <c:txPr>
              <a:bodyPr/>
              <a:lstStyle/>
              <a:p>
                <a:pPr>
                  <a:defRPr sz="1400" b="1"/>
                </a:pPr>
                <a:endParaRPr lang="ru-RU"/>
              </a:p>
            </c:txPr>
            <c:showLegendKey val="0"/>
            <c:showVal val="1"/>
            <c:showCatName val="0"/>
            <c:showSerName val="0"/>
            <c:showPercent val="0"/>
            <c:showBubbleSize val="0"/>
            <c:showLeaderLines val="0"/>
          </c:dLbls>
          <c:cat>
            <c:strRef>
              <c:f>Лист1!$A$2:$A$4</c:f>
              <c:strCache>
                <c:ptCount val="3"/>
                <c:pt idx="0">
                  <c:v>Соціальний захист</c:v>
                </c:pt>
                <c:pt idx="1">
                  <c:v>Земельні питання</c:v>
                </c:pt>
                <c:pt idx="2">
                  <c:v>Питання житлово-комунального господарства</c:v>
                </c:pt>
              </c:strCache>
            </c:strRef>
          </c:cat>
          <c:val>
            <c:numRef>
              <c:f>Лист1!$B$2:$B$4</c:f>
              <c:numCache>
                <c:formatCode>General</c:formatCode>
                <c:ptCount val="3"/>
                <c:pt idx="0">
                  <c:v>328</c:v>
                </c:pt>
                <c:pt idx="1">
                  <c:v>95</c:v>
                </c:pt>
                <c:pt idx="2">
                  <c:v>86</c:v>
                </c:pt>
              </c:numCache>
            </c:numRef>
          </c:val>
        </c:ser>
        <c:ser>
          <c:idx val="1"/>
          <c:order val="1"/>
          <c:tx>
            <c:strRef>
              <c:f>Лист1!$C$1</c:f>
              <c:strCache>
                <c:ptCount val="1"/>
                <c:pt idx="0">
                  <c:v>2019 рік</c:v>
                </c:pt>
              </c:strCache>
            </c:strRef>
          </c:tx>
          <c:invertIfNegative val="0"/>
          <c:dLbls>
            <c:txPr>
              <a:bodyPr/>
              <a:lstStyle/>
              <a:p>
                <a:pPr>
                  <a:defRPr sz="1400" b="1"/>
                </a:pPr>
                <a:endParaRPr lang="ru-RU"/>
              </a:p>
            </c:txPr>
            <c:showLegendKey val="0"/>
            <c:showVal val="1"/>
            <c:showCatName val="0"/>
            <c:showSerName val="0"/>
            <c:showPercent val="0"/>
            <c:showBubbleSize val="0"/>
            <c:showLeaderLines val="0"/>
          </c:dLbls>
          <c:cat>
            <c:strRef>
              <c:f>Лист1!$A$2:$A$4</c:f>
              <c:strCache>
                <c:ptCount val="3"/>
                <c:pt idx="0">
                  <c:v>Соціальний захист</c:v>
                </c:pt>
                <c:pt idx="1">
                  <c:v>Земельні питання</c:v>
                </c:pt>
                <c:pt idx="2">
                  <c:v>Питання житлово-комунального господарства</c:v>
                </c:pt>
              </c:strCache>
            </c:strRef>
          </c:cat>
          <c:val>
            <c:numRef>
              <c:f>Лист1!$C$2:$C$4</c:f>
              <c:numCache>
                <c:formatCode>General</c:formatCode>
                <c:ptCount val="3"/>
                <c:pt idx="0">
                  <c:v>505</c:v>
                </c:pt>
                <c:pt idx="1">
                  <c:v>82</c:v>
                </c:pt>
                <c:pt idx="2">
                  <c:v>228</c:v>
                </c:pt>
              </c:numCache>
            </c:numRef>
          </c:val>
        </c:ser>
        <c:dLbls>
          <c:showLegendKey val="0"/>
          <c:showVal val="0"/>
          <c:showCatName val="0"/>
          <c:showSerName val="0"/>
          <c:showPercent val="0"/>
          <c:showBubbleSize val="0"/>
        </c:dLbls>
        <c:gapWidth val="75"/>
        <c:overlap val="-25"/>
        <c:axId val="235449344"/>
        <c:axId val="131602048"/>
      </c:barChart>
      <c:catAx>
        <c:axId val="235449344"/>
        <c:scaling>
          <c:orientation val="minMax"/>
        </c:scaling>
        <c:delete val="0"/>
        <c:axPos val="b"/>
        <c:majorTickMark val="none"/>
        <c:minorTickMark val="none"/>
        <c:tickLblPos val="nextTo"/>
        <c:txPr>
          <a:bodyPr/>
          <a:lstStyle/>
          <a:p>
            <a:pPr>
              <a:defRPr sz="1100" b="1"/>
            </a:pPr>
            <a:endParaRPr lang="ru-RU"/>
          </a:p>
        </c:txPr>
        <c:crossAx val="131602048"/>
        <c:crosses val="autoZero"/>
        <c:auto val="1"/>
        <c:lblAlgn val="ctr"/>
        <c:lblOffset val="100"/>
        <c:noMultiLvlLbl val="0"/>
      </c:catAx>
      <c:valAx>
        <c:axId val="131602048"/>
        <c:scaling>
          <c:orientation val="minMax"/>
        </c:scaling>
        <c:delete val="0"/>
        <c:axPos val="l"/>
        <c:majorGridlines/>
        <c:numFmt formatCode="General" sourceLinked="1"/>
        <c:majorTickMark val="none"/>
        <c:minorTickMark val="none"/>
        <c:tickLblPos val="nextTo"/>
        <c:spPr>
          <a:ln w="9525">
            <a:noFill/>
          </a:ln>
        </c:spPr>
        <c:crossAx val="235449344"/>
        <c:crosses val="autoZero"/>
        <c:crossBetween val="between"/>
      </c:valAx>
    </c:plotArea>
    <c:legend>
      <c:legendPos val="b"/>
      <c:overlay val="0"/>
      <c:txPr>
        <a:bodyPr/>
        <a:lstStyle/>
        <a:p>
          <a:pPr>
            <a:defRPr sz="1200" b="1"/>
          </a:pPr>
          <a:endParaRPr lang="ru-RU"/>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CC1837-7388-4BC6-AD29-262F392A3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2081</Words>
  <Characters>11866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Пошта0</dc:creator>
  <cp:lastModifiedBy>Пошта0</cp:lastModifiedBy>
  <cp:revision>5</cp:revision>
  <cp:lastPrinted>2020-07-08T13:21:00Z</cp:lastPrinted>
  <dcterms:created xsi:type="dcterms:W3CDTF">2021-05-31T07:14:00Z</dcterms:created>
  <dcterms:modified xsi:type="dcterms:W3CDTF">2021-05-31T07:21:00Z</dcterms:modified>
</cp:coreProperties>
</file>