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2FE" w:rsidRPr="00B553C4" w:rsidRDefault="008052FE" w:rsidP="008052F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8052FE" w:rsidRPr="00B553C4" w:rsidRDefault="008052FE" w:rsidP="008052F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8052FE" w:rsidRPr="00B553C4" w:rsidRDefault="008052FE" w:rsidP="008052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8052FE" w:rsidRPr="00B553C4" w:rsidRDefault="008052FE" w:rsidP="008052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052FE" w:rsidRPr="00B553C4" w:rsidRDefault="008052FE" w:rsidP="008052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052FE" w:rsidRPr="00B553C4" w:rsidRDefault="008052FE" w:rsidP="00805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FE" w:rsidRPr="00B553C4" w:rsidRDefault="008052FE" w:rsidP="008052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483</w:t>
      </w:r>
    </w:p>
    <w:p w:rsidR="008052FE" w:rsidRDefault="008052FE" w:rsidP="008052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8052FE" w:rsidRDefault="008052FE" w:rsidP="008052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052FE" w:rsidRPr="003C2590" w:rsidRDefault="008052FE" w:rsidP="008052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2590">
        <w:rPr>
          <w:rFonts w:ascii="Times New Roman" w:hAnsi="Times New Roman" w:cs="Times New Roman"/>
          <w:sz w:val="24"/>
          <w:szCs w:val="24"/>
          <w:lang w:val="uk-UA"/>
        </w:rPr>
        <w:t xml:space="preserve">Про створення цільового благодійного фонду </w:t>
      </w:r>
    </w:p>
    <w:p w:rsidR="008052FE" w:rsidRPr="00D2504F" w:rsidRDefault="008052FE" w:rsidP="008052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504F">
        <w:rPr>
          <w:rFonts w:ascii="Times New Roman" w:hAnsi="Times New Roman" w:cs="Times New Roman"/>
          <w:sz w:val="24"/>
          <w:szCs w:val="24"/>
          <w:lang w:val="uk-UA"/>
        </w:rPr>
        <w:t xml:space="preserve">«Благоустрій </w:t>
      </w:r>
      <w:proofErr w:type="spellStart"/>
      <w:r w:rsidRPr="00D2504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2504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</w:t>
      </w:r>
    </w:p>
    <w:p w:rsidR="008052FE" w:rsidRPr="000E34CA" w:rsidRDefault="008052FE" w:rsidP="00805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цільовий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благодійний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2FE" w:rsidRPr="000E34CA" w:rsidRDefault="008052FE" w:rsidP="00805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</w:rPr>
        <w:t>фонд</w:t>
      </w:r>
      <w:proofErr w:type="gramStart"/>
      <w:r w:rsidRPr="000E34C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лагоустрій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»</w:t>
      </w:r>
    </w:p>
    <w:p w:rsidR="008052FE" w:rsidRDefault="008052FE" w:rsidP="008052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2FE" w:rsidRPr="000E34CA" w:rsidRDefault="008052FE" w:rsidP="008052FE">
      <w:pPr>
        <w:spacing w:after="0" w:line="240" w:lineRule="auto"/>
        <w:jc w:val="both"/>
        <w:rPr>
          <w:rFonts w:ascii="Times New Roman" w:hAnsi="Times New Roman" w:cs="Times New Roman"/>
          <w:w w:val="101"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</w:rPr>
        <w:tab/>
        <w:t xml:space="preserve">За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2019-І </w:t>
      </w: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івріччя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2021 року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благодійного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фонду «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витрачено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2019 року  - на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ліквідацію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стихійних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сміттєзвалищ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- 95144,85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грн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.;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встановлення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огорожі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вздовж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проїзжої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частини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автомобільних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доріг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- 32622,00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грн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.;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придбання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флагштоків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- 19990,00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грн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.;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придбання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об’єкту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«Я люблю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Знам’янка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>» 118000,00 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грн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.;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протягом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2020 року - на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придбання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МАФ (лавки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паркові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) - 50830,00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грн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.;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поточний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ремонт МАФ - 20000,00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грн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.;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поточний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ремонт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смі</w:t>
      </w:r>
      <w:proofErr w:type="gramStart"/>
      <w:r w:rsidRPr="000E34CA">
        <w:rPr>
          <w:rFonts w:ascii="Times New Roman" w:hAnsi="Times New Roman" w:cs="Times New Roman"/>
          <w:w w:val="101"/>
          <w:sz w:val="24"/>
          <w:szCs w:val="24"/>
        </w:rPr>
        <w:t>тт</w:t>
      </w:r>
      <w:proofErr w:type="gramEnd"/>
      <w:r w:rsidRPr="000E34CA">
        <w:rPr>
          <w:rFonts w:ascii="Times New Roman" w:hAnsi="Times New Roman" w:cs="Times New Roman"/>
          <w:w w:val="101"/>
          <w:sz w:val="24"/>
          <w:szCs w:val="24"/>
        </w:rPr>
        <w:t>євих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майданчиків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за адресами: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w w:val="101"/>
          <w:sz w:val="24"/>
          <w:szCs w:val="24"/>
        </w:rPr>
        <w:t>. </w:t>
      </w:r>
      <w:proofErr w:type="spellStart"/>
      <w:r>
        <w:rPr>
          <w:rFonts w:ascii="Times New Roman" w:hAnsi="Times New Roman" w:cs="Times New Roman"/>
          <w:w w:val="101"/>
          <w:sz w:val="24"/>
          <w:szCs w:val="24"/>
        </w:rPr>
        <w:t>Віктора</w:t>
      </w:r>
      <w:proofErr w:type="spellEnd"/>
      <w:r>
        <w:rPr>
          <w:rFonts w:ascii="Times New Roman" w:hAnsi="Times New Roman" w:cs="Times New Roman"/>
          <w:w w:val="101"/>
          <w:sz w:val="24"/>
          <w:szCs w:val="24"/>
        </w:rPr>
        <w:t xml:space="preserve"> Голого, 8</w:t>
      </w:r>
      <w:r w:rsidRPr="000A195D">
        <w:rPr>
          <w:rFonts w:ascii="Times New Roman" w:hAnsi="Times New Roman" w:cs="Times New Roman"/>
          <w:w w:val="101"/>
          <w:sz w:val="24"/>
          <w:szCs w:val="24"/>
        </w:rPr>
        <w:t>1</w:t>
      </w:r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вул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Віктора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Голого, 91,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вул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Михайла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Грушевсього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, 12,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вул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Михайла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Грушевського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, 9 - 102202,00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грн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.;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послуги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облаштування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утримання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клумб - 34602,00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грн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.;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протягом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І </w:t>
      </w:r>
      <w:proofErr w:type="spellStart"/>
      <w:proofErr w:type="gramStart"/>
      <w:r w:rsidRPr="000E34CA">
        <w:rPr>
          <w:rFonts w:ascii="Times New Roman" w:hAnsi="Times New Roman" w:cs="Times New Roman"/>
          <w:w w:val="101"/>
          <w:sz w:val="24"/>
          <w:szCs w:val="24"/>
        </w:rPr>
        <w:t>п</w:t>
      </w:r>
      <w:proofErr w:type="gramEnd"/>
      <w:r w:rsidRPr="000E34CA">
        <w:rPr>
          <w:rFonts w:ascii="Times New Roman" w:hAnsi="Times New Roman" w:cs="Times New Roman"/>
          <w:w w:val="101"/>
          <w:sz w:val="24"/>
          <w:szCs w:val="24"/>
        </w:rPr>
        <w:t>івріччя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2021 року - на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ліквідацію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сміттєзвалищ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17076,00 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грн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>.</w:t>
      </w:r>
    </w:p>
    <w:p w:rsidR="008052FE" w:rsidRPr="000E34CA" w:rsidRDefault="008052FE" w:rsidP="008052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gramEnd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метою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отримання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додаткових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коштів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вирішення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питань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благоустрою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Знам’янської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міської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територіальної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ст. 26 Закону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Знам'янська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8052FE" w:rsidRPr="000E34CA" w:rsidRDefault="008052FE" w:rsidP="008052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2FE" w:rsidRPr="003C2590" w:rsidRDefault="008052FE" w:rsidP="008052FE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8052FE" w:rsidRPr="003C2590" w:rsidRDefault="008052FE" w:rsidP="008052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259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Створити цільовий благодійний фонд </w:t>
      </w:r>
      <w:r w:rsidRPr="003C2590">
        <w:rPr>
          <w:rFonts w:ascii="Times New Roman" w:hAnsi="Times New Roman" w:cs="Times New Roman"/>
          <w:sz w:val="24"/>
          <w:szCs w:val="24"/>
          <w:lang w:val="uk-UA"/>
        </w:rPr>
        <w:t xml:space="preserve"> «Благоустрій </w:t>
      </w:r>
      <w:proofErr w:type="spellStart"/>
      <w:r w:rsidRPr="003C2590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C2590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громади».</w:t>
      </w:r>
    </w:p>
    <w:p w:rsidR="008052FE" w:rsidRPr="00D2504F" w:rsidRDefault="008052FE" w:rsidP="008052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50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Затвердити Положення про цільовий благодійний фонд «Благоустрій </w:t>
      </w:r>
      <w:proofErr w:type="spellStart"/>
      <w:r w:rsidRPr="00D2504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2504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(додається).</w:t>
      </w:r>
    </w:p>
    <w:p w:rsidR="008052FE" w:rsidRPr="000E34CA" w:rsidRDefault="008052FE" w:rsidP="008052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Вважати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такими,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що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втратили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чинність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8052FE" w:rsidRPr="000E34CA" w:rsidRDefault="008052FE" w:rsidP="008052FE">
      <w:pPr>
        <w:numPr>
          <w:ilvl w:val="0"/>
          <w:numId w:val="7"/>
        </w:numPr>
        <w:suppressAutoHyphens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0E34CA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0E34CA">
        <w:rPr>
          <w:rFonts w:ascii="Times New Roman" w:hAnsi="Times New Roman" w:cs="Times New Roman"/>
          <w:bCs/>
          <w:sz w:val="24"/>
          <w:szCs w:val="24"/>
        </w:rPr>
        <w:t>ішення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27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червня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2002 року № 87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створення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благодійного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фонду «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міста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>»;</w:t>
      </w:r>
    </w:p>
    <w:p w:rsidR="008052FE" w:rsidRPr="000E34CA" w:rsidRDefault="008052FE" w:rsidP="008052FE">
      <w:pPr>
        <w:numPr>
          <w:ilvl w:val="0"/>
          <w:numId w:val="7"/>
        </w:numPr>
        <w:suppressAutoHyphens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0E34CA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0E34CA">
        <w:rPr>
          <w:rFonts w:ascii="Times New Roman" w:hAnsi="Times New Roman" w:cs="Times New Roman"/>
          <w:bCs/>
          <w:sz w:val="24"/>
          <w:szCs w:val="24"/>
        </w:rPr>
        <w:t>ішення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27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травня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2011 року №242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внесення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змін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Положення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цільовий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благодійний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фонд «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міста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»,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затвердженого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рішенням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27.06.2002 року №87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створення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благодійного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фонду «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міста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>»;</w:t>
      </w:r>
    </w:p>
    <w:p w:rsidR="008052FE" w:rsidRPr="000E34CA" w:rsidRDefault="008052FE" w:rsidP="008052FE">
      <w:pPr>
        <w:numPr>
          <w:ilvl w:val="0"/>
          <w:numId w:val="7"/>
        </w:numPr>
        <w:suppressAutoHyphens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0E34CA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0E34CA">
        <w:rPr>
          <w:rFonts w:ascii="Times New Roman" w:hAnsi="Times New Roman" w:cs="Times New Roman"/>
          <w:bCs/>
          <w:sz w:val="24"/>
          <w:szCs w:val="24"/>
        </w:rPr>
        <w:t>ішення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25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липня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2012 року №651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внесення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змін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доповнень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Положення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цільовий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благодійний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фонд «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міста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»,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затвердженого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рішенням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27.06.2002 року №87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створення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благодійного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фонду «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міста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>»;</w:t>
      </w:r>
    </w:p>
    <w:p w:rsidR="008052FE" w:rsidRPr="000E34CA" w:rsidRDefault="008052FE" w:rsidP="008052FE">
      <w:pPr>
        <w:numPr>
          <w:ilvl w:val="0"/>
          <w:numId w:val="7"/>
        </w:numPr>
        <w:suppressAutoHyphens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0E34CA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0E34CA">
        <w:rPr>
          <w:rFonts w:ascii="Times New Roman" w:hAnsi="Times New Roman" w:cs="Times New Roman"/>
          <w:bCs/>
          <w:sz w:val="24"/>
          <w:szCs w:val="24"/>
        </w:rPr>
        <w:t>ішення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5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квітня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2013 року  №892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внесення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змін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доповнень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Положення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цільовий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благодійний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фонд «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міста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»,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затвердженого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рішенням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27.06.2002 року №87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створення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благодійного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фонду «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міста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>»;</w:t>
      </w:r>
    </w:p>
    <w:p w:rsidR="008052FE" w:rsidRPr="000E34CA" w:rsidRDefault="008052FE" w:rsidP="008052FE">
      <w:pPr>
        <w:numPr>
          <w:ilvl w:val="0"/>
          <w:numId w:val="7"/>
        </w:numPr>
        <w:suppressAutoHyphens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0E34CA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0E34CA">
        <w:rPr>
          <w:rFonts w:ascii="Times New Roman" w:hAnsi="Times New Roman" w:cs="Times New Roman"/>
          <w:bCs/>
          <w:sz w:val="24"/>
          <w:szCs w:val="24"/>
        </w:rPr>
        <w:t>ішення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21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червня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2013 року №954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внесення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змін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доповнень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рішення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5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квітня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2013 року №892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внесення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lastRenderedPageBreak/>
        <w:t>змін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доповнень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Положення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цільовий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благодійний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фонд «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міста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>»;</w:t>
      </w:r>
    </w:p>
    <w:p w:rsidR="008052FE" w:rsidRPr="002B7741" w:rsidRDefault="008052FE" w:rsidP="008052FE">
      <w:pPr>
        <w:numPr>
          <w:ilvl w:val="0"/>
          <w:numId w:val="5"/>
        </w:numPr>
        <w:suppressAutoHyphens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0E34CA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0E34CA">
        <w:rPr>
          <w:rFonts w:ascii="Times New Roman" w:hAnsi="Times New Roman" w:cs="Times New Roman"/>
          <w:bCs/>
          <w:sz w:val="24"/>
          <w:szCs w:val="24"/>
        </w:rPr>
        <w:t>ішення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22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серпня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2014 року № 1466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внесення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змін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рішення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27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червня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2002 року № 87 «Про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створення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Cs/>
          <w:sz w:val="24"/>
          <w:szCs w:val="24"/>
        </w:rPr>
        <w:t>благоді</w:t>
      </w:r>
      <w:r>
        <w:rPr>
          <w:rFonts w:ascii="Times New Roman" w:hAnsi="Times New Roman" w:cs="Times New Roman"/>
          <w:bCs/>
          <w:sz w:val="24"/>
          <w:szCs w:val="24"/>
        </w:rPr>
        <w:t>йного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фонду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Благоустрій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міста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8052FE" w:rsidRPr="002B7741" w:rsidRDefault="008052FE" w:rsidP="008052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7741">
        <w:rPr>
          <w:rFonts w:ascii="Times New Roman" w:hAnsi="Times New Roman"/>
          <w:sz w:val="24"/>
          <w:szCs w:val="24"/>
        </w:rPr>
        <w:t xml:space="preserve"> Організацію виконання даного рішення покласти на заступника міського голови з питань діяльності виконавчих органів Олега ГРЕБЕНЮКА та управління містобудування, архітектури та житлово-комунального господарства </w:t>
      </w:r>
      <w:proofErr w:type="spellStart"/>
      <w:r w:rsidRPr="002B774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B7741">
        <w:rPr>
          <w:rFonts w:ascii="Times New Roman" w:hAnsi="Times New Roman"/>
          <w:sz w:val="24"/>
          <w:szCs w:val="24"/>
        </w:rPr>
        <w:t xml:space="preserve"> міської ради  (</w:t>
      </w:r>
      <w:proofErr w:type="spellStart"/>
      <w:r w:rsidRPr="002B7741">
        <w:rPr>
          <w:rFonts w:ascii="Times New Roman" w:hAnsi="Times New Roman"/>
          <w:sz w:val="24"/>
          <w:szCs w:val="24"/>
        </w:rPr>
        <w:t>нач</w:t>
      </w:r>
      <w:proofErr w:type="spellEnd"/>
      <w:r w:rsidRPr="002B7741">
        <w:rPr>
          <w:rFonts w:ascii="Times New Roman" w:hAnsi="Times New Roman"/>
          <w:sz w:val="24"/>
          <w:szCs w:val="24"/>
        </w:rPr>
        <w:t>. Микола НІКІТІН)</w:t>
      </w:r>
      <w:r>
        <w:rPr>
          <w:rFonts w:ascii="Times New Roman" w:hAnsi="Times New Roman"/>
          <w:sz w:val="24"/>
          <w:szCs w:val="24"/>
        </w:rPr>
        <w:t>.</w:t>
      </w:r>
    </w:p>
    <w:p w:rsidR="008052FE" w:rsidRPr="002B7741" w:rsidRDefault="008052FE" w:rsidP="008052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7741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житлово-комунального господарства, охорони навколишнього природного середовища, землекористування та будівництва (гол. Роман КОНДРАТЬЄВ).</w:t>
      </w:r>
    </w:p>
    <w:p w:rsidR="008052FE" w:rsidRPr="000E34CA" w:rsidRDefault="008052FE" w:rsidP="008052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52FE" w:rsidRPr="00595720" w:rsidRDefault="008052FE" w:rsidP="008052F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Знам’янський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Володимир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СОКИРКО</w:t>
      </w:r>
    </w:p>
    <w:p w:rsidR="008052FE" w:rsidRPr="000E34CA" w:rsidRDefault="008052FE" w:rsidP="008052FE">
      <w:pPr>
        <w:spacing w:after="0"/>
        <w:ind w:firstLine="6804"/>
        <w:rPr>
          <w:rFonts w:ascii="Times New Roman" w:hAnsi="Times New Roman" w:cs="Times New Roman"/>
          <w:w w:val="101"/>
          <w:sz w:val="24"/>
          <w:szCs w:val="24"/>
        </w:rPr>
      </w:pP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>З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атверджено</w:t>
      </w:r>
      <w:proofErr w:type="spellEnd"/>
    </w:p>
    <w:p w:rsidR="008052FE" w:rsidRPr="000E34CA" w:rsidRDefault="008052FE" w:rsidP="008052FE">
      <w:pPr>
        <w:spacing w:after="0"/>
        <w:ind w:left="4956"/>
        <w:rPr>
          <w:rFonts w:ascii="Times New Roman" w:hAnsi="Times New Roman" w:cs="Times New Roman"/>
          <w:w w:val="101"/>
          <w:sz w:val="24"/>
          <w:szCs w:val="24"/>
        </w:rPr>
      </w:pP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      </w:t>
      </w:r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proofErr w:type="gramStart"/>
      <w:r w:rsidRPr="000E34CA">
        <w:rPr>
          <w:rFonts w:ascii="Times New Roman" w:hAnsi="Times New Roman" w:cs="Times New Roman"/>
          <w:w w:val="101"/>
          <w:sz w:val="24"/>
          <w:szCs w:val="24"/>
        </w:rPr>
        <w:t>р</w:t>
      </w:r>
      <w:proofErr w:type="gramEnd"/>
      <w:r w:rsidRPr="000E34CA">
        <w:rPr>
          <w:rFonts w:ascii="Times New Roman" w:hAnsi="Times New Roman" w:cs="Times New Roman"/>
          <w:w w:val="101"/>
          <w:sz w:val="24"/>
          <w:szCs w:val="24"/>
        </w:rPr>
        <w:t>ішенням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w w:val="101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ради</w:t>
      </w:r>
    </w:p>
    <w:p w:rsidR="008052FE" w:rsidRPr="000E34CA" w:rsidRDefault="008052FE" w:rsidP="008052FE">
      <w:pPr>
        <w:spacing w:after="0"/>
        <w:rPr>
          <w:rFonts w:ascii="Times New Roman" w:hAnsi="Times New Roman" w:cs="Times New Roman"/>
          <w:w w:val="101"/>
          <w:sz w:val="24"/>
          <w:szCs w:val="24"/>
        </w:rPr>
      </w:pPr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1"/>
          <w:sz w:val="24"/>
          <w:szCs w:val="24"/>
        </w:rPr>
        <w:tab/>
      </w:r>
      <w:r>
        <w:rPr>
          <w:rFonts w:ascii="Times New Roman" w:hAnsi="Times New Roman" w:cs="Times New Roman"/>
          <w:w w:val="101"/>
          <w:sz w:val="24"/>
          <w:szCs w:val="24"/>
        </w:rPr>
        <w:tab/>
      </w:r>
      <w:r>
        <w:rPr>
          <w:rFonts w:ascii="Times New Roman" w:hAnsi="Times New Roman" w:cs="Times New Roman"/>
          <w:w w:val="101"/>
          <w:sz w:val="24"/>
          <w:szCs w:val="24"/>
        </w:rPr>
        <w:tab/>
      </w:r>
      <w:r>
        <w:rPr>
          <w:rFonts w:ascii="Times New Roman" w:hAnsi="Times New Roman" w:cs="Times New Roman"/>
          <w:w w:val="101"/>
          <w:sz w:val="24"/>
          <w:szCs w:val="24"/>
        </w:rPr>
        <w:tab/>
      </w:r>
      <w:r>
        <w:rPr>
          <w:rFonts w:ascii="Times New Roman" w:hAnsi="Times New Roman" w:cs="Times New Roman"/>
          <w:w w:val="101"/>
          <w:sz w:val="24"/>
          <w:szCs w:val="24"/>
        </w:rPr>
        <w:tab/>
      </w:r>
      <w:r>
        <w:rPr>
          <w:rFonts w:ascii="Times New Roman" w:hAnsi="Times New Roman" w:cs="Times New Roman"/>
          <w:w w:val="101"/>
          <w:sz w:val="24"/>
          <w:szCs w:val="24"/>
        </w:rPr>
        <w:tab/>
      </w:r>
      <w:r>
        <w:rPr>
          <w:rFonts w:ascii="Times New Roman" w:hAnsi="Times New Roman" w:cs="Times New Roman"/>
          <w:w w:val="101"/>
          <w:sz w:val="24"/>
          <w:szCs w:val="24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             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16 липня </w:t>
      </w:r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 2021р. №  </w:t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>483</w:t>
      </w:r>
      <w:r w:rsidRPr="000E34CA">
        <w:rPr>
          <w:rFonts w:ascii="Times New Roman" w:hAnsi="Times New Roman" w:cs="Times New Roman"/>
          <w:w w:val="101"/>
          <w:sz w:val="24"/>
          <w:szCs w:val="24"/>
        </w:rPr>
        <w:t xml:space="preserve">                             </w:t>
      </w:r>
    </w:p>
    <w:p w:rsidR="008052FE" w:rsidRPr="000E34CA" w:rsidRDefault="008052FE" w:rsidP="008052FE">
      <w:pPr>
        <w:ind w:left="6521"/>
        <w:rPr>
          <w:rFonts w:ascii="Times New Roman" w:hAnsi="Times New Roman" w:cs="Times New Roman"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052FE" w:rsidRDefault="008052FE" w:rsidP="008052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sz w:val="24"/>
          <w:szCs w:val="24"/>
        </w:rPr>
        <w:t>ПОЛОЖЕННЯ</w:t>
      </w:r>
    </w:p>
    <w:p w:rsidR="008052FE" w:rsidRPr="00B423E8" w:rsidRDefault="008052FE" w:rsidP="008052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3E8">
        <w:rPr>
          <w:rFonts w:ascii="Times New Roman" w:hAnsi="Times New Roman" w:cs="Times New Roman"/>
          <w:b/>
          <w:sz w:val="24"/>
          <w:szCs w:val="24"/>
          <w:lang w:val="uk-UA"/>
        </w:rPr>
        <w:t>про цільовий благодійний фонд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423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«Благоустрій </w:t>
      </w:r>
      <w:proofErr w:type="spellStart"/>
      <w:r w:rsidRPr="00B423E8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B423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громади»</w:t>
      </w:r>
    </w:p>
    <w:p w:rsidR="008052FE" w:rsidRPr="00B423E8" w:rsidRDefault="008052FE" w:rsidP="008052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2FE" w:rsidRPr="000E34CA" w:rsidRDefault="008052FE" w:rsidP="008052FE">
      <w:pPr>
        <w:suppressAutoHyphens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4CA">
        <w:rPr>
          <w:rFonts w:ascii="Times New Roman" w:hAnsi="Times New Roman" w:cs="Times New Roman"/>
          <w:b/>
          <w:sz w:val="24"/>
          <w:szCs w:val="24"/>
        </w:rPr>
        <w:t xml:space="preserve">І.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Загальні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Положення</w:t>
      </w:r>
      <w:proofErr w:type="spellEnd"/>
    </w:p>
    <w:p w:rsidR="008052FE" w:rsidRPr="000E34CA" w:rsidRDefault="008052FE" w:rsidP="008052FE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ільовий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благодійний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фонд «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» створено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упорядкування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приведення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сучасного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вигляду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напрямками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викладеними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у 3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розділі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.</w:t>
      </w:r>
    </w:p>
    <w:p w:rsidR="008052FE" w:rsidRPr="000E34CA" w:rsidRDefault="008052FE" w:rsidP="008052FE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ільовий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благодійний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фонд «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складовою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частиною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спеціального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бюджету,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формується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централізації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залученн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договірній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0E34CA">
        <w:rPr>
          <w:rFonts w:ascii="Times New Roman" w:hAnsi="Times New Roman" w:cs="Times New Roman"/>
          <w:sz w:val="24"/>
          <w:szCs w:val="24"/>
        </w:rPr>
        <w:t xml:space="preserve"> тому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по договорах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партнерства,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суб’єктів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підприємницької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ізних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форм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благодійних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внесків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надходжень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.</w:t>
      </w:r>
    </w:p>
    <w:p w:rsidR="008052FE" w:rsidRDefault="008052FE" w:rsidP="008052FE">
      <w:pPr>
        <w:suppressAutoHyphens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2FE" w:rsidRPr="000E34CA" w:rsidRDefault="008052FE" w:rsidP="008052FE">
      <w:pPr>
        <w:suppressAutoHyphens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4CA">
        <w:rPr>
          <w:rFonts w:ascii="Times New Roman" w:hAnsi="Times New Roman" w:cs="Times New Roman"/>
          <w:b/>
          <w:sz w:val="24"/>
          <w:szCs w:val="24"/>
        </w:rPr>
        <w:t xml:space="preserve">П. Порядок та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умови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використання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коштів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благодійного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фонду </w:t>
      </w:r>
    </w:p>
    <w:p w:rsidR="008052FE" w:rsidRPr="000E34CA" w:rsidRDefault="008052FE" w:rsidP="008052FE">
      <w:pPr>
        <w:suppressAutoHyphens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4CA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Знам’янської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052FE" w:rsidRPr="000E34CA" w:rsidRDefault="008052FE" w:rsidP="008052FE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благодійного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фонду «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головні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розпорядники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ідповідно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ради «Про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бюджет» на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відповідний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бюджетний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внесених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) та у межах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призначень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цілі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визначені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розділом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ІІІ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.</w:t>
      </w:r>
    </w:p>
    <w:p w:rsidR="008052FE" w:rsidRPr="000E34CA" w:rsidRDefault="008052FE" w:rsidP="008052FE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голова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звітує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перед депутатами про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благодійного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фонду «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» за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попередній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у І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кварталі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поточного року.</w:t>
      </w:r>
    </w:p>
    <w:p w:rsidR="008052FE" w:rsidRDefault="008052FE" w:rsidP="008052FE">
      <w:pPr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2FE" w:rsidRPr="008052FE" w:rsidRDefault="008052FE" w:rsidP="008052FE">
      <w:pPr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2FE" w:rsidRPr="000E34CA" w:rsidRDefault="008052FE" w:rsidP="008052FE">
      <w:pPr>
        <w:suppressAutoHyphens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4C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Ш. </w:t>
      </w:r>
      <w:proofErr w:type="gramStart"/>
      <w:r w:rsidRPr="000E34CA">
        <w:rPr>
          <w:rFonts w:ascii="Times New Roman" w:hAnsi="Times New Roman" w:cs="Times New Roman"/>
          <w:b/>
          <w:sz w:val="24"/>
          <w:szCs w:val="24"/>
        </w:rPr>
        <w:t>Напрямки</w:t>
      </w:r>
      <w:proofErr w:type="gram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використання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коштів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благодійного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фонду</w:t>
      </w:r>
    </w:p>
    <w:p w:rsidR="008052FE" w:rsidRDefault="008052FE" w:rsidP="008052FE">
      <w:pPr>
        <w:suppressAutoHyphens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Знам’янської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>»</w:t>
      </w:r>
    </w:p>
    <w:p w:rsidR="008052FE" w:rsidRPr="000E34CA" w:rsidRDefault="008052FE" w:rsidP="008052FE">
      <w:pPr>
        <w:spacing w:after="0" w:line="240" w:lineRule="auto"/>
        <w:ind w:left="360" w:firstLine="3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цільового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благодійного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фонду «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використані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34C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:</w:t>
      </w:r>
    </w:p>
    <w:p w:rsidR="008052FE" w:rsidRPr="000E34CA" w:rsidRDefault="008052FE" w:rsidP="008052FE">
      <w:pPr>
        <w:numPr>
          <w:ilvl w:val="3"/>
          <w:numId w:val="1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реконструкції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капітальному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поточному ремонту,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утриманню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:</w:t>
      </w:r>
    </w:p>
    <w:p w:rsidR="008052FE" w:rsidRPr="000E34CA" w:rsidRDefault="008052FE" w:rsidP="008052FE">
      <w:pPr>
        <w:numPr>
          <w:ilvl w:val="1"/>
          <w:numId w:val="2"/>
        </w:numPr>
        <w:tabs>
          <w:tab w:val="clear" w:pos="2520"/>
          <w:tab w:val="num" w:pos="1260"/>
          <w:tab w:val="num" w:pos="1418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доріг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тротуарів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дорожніх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знакі</w:t>
      </w:r>
      <w:proofErr w:type="gramStart"/>
      <w:r w:rsidRPr="000E34C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нанесення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дорожньої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розмітки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;</w:t>
      </w:r>
    </w:p>
    <w:p w:rsidR="008052FE" w:rsidRPr="000E34CA" w:rsidRDefault="008052FE" w:rsidP="008052FE">
      <w:pPr>
        <w:numPr>
          <w:ilvl w:val="1"/>
          <w:numId w:val="2"/>
        </w:numPr>
        <w:tabs>
          <w:tab w:val="clear" w:pos="2520"/>
          <w:tab w:val="num" w:pos="1260"/>
          <w:tab w:val="num" w:pos="1418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</w:rPr>
        <w:t xml:space="preserve">мереж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;</w:t>
      </w:r>
    </w:p>
    <w:p w:rsidR="008052FE" w:rsidRPr="000E34CA" w:rsidRDefault="008052FE" w:rsidP="008052FE">
      <w:pPr>
        <w:numPr>
          <w:ilvl w:val="1"/>
          <w:numId w:val="2"/>
        </w:numPr>
        <w:tabs>
          <w:tab w:val="clear" w:pos="2520"/>
          <w:tab w:val="num" w:pos="1260"/>
          <w:tab w:val="num" w:pos="1418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покрівель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фасадів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огорож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житлових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будинків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комунальній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;</w:t>
      </w:r>
    </w:p>
    <w:p w:rsidR="008052FE" w:rsidRPr="000E34CA" w:rsidRDefault="008052FE" w:rsidP="008052FE">
      <w:pPr>
        <w:numPr>
          <w:ilvl w:val="2"/>
          <w:numId w:val="2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парків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скверів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майданчиків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берегових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ліній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водойм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;</w:t>
      </w:r>
    </w:p>
    <w:p w:rsidR="008052FE" w:rsidRPr="000E34CA" w:rsidRDefault="008052FE" w:rsidP="008052FE">
      <w:pPr>
        <w:numPr>
          <w:ilvl w:val="2"/>
          <w:numId w:val="2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</w:rPr>
        <w:t xml:space="preserve">заходи по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санітарній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очистці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берегових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ліній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водойм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очищення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водойм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намулів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наносів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відкладів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завалів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заході</w:t>
      </w:r>
      <w:proofErr w:type="gramStart"/>
      <w:r w:rsidRPr="000E34C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0E34CA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утриманню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благоустрою;</w:t>
      </w:r>
    </w:p>
    <w:p w:rsidR="008052FE" w:rsidRPr="000E34CA" w:rsidRDefault="008052FE" w:rsidP="008052FE">
      <w:pPr>
        <w:numPr>
          <w:ilvl w:val="2"/>
          <w:numId w:val="2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видалення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обр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ізку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догляд за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зеленими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насадженнями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озеленення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посадкового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матеріалу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;</w:t>
      </w:r>
    </w:p>
    <w:p w:rsidR="008052FE" w:rsidRPr="000E34CA" w:rsidRDefault="008052FE" w:rsidP="008052FE">
      <w:pPr>
        <w:numPr>
          <w:ilvl w:val="2"/>
          <w:numId w:val="2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косіння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трави;</w:t>
      </w:r>
    </w:p>
    <w:p w:rsidR="008052FE" w:rsidRPr="000E34CA" w:rsidRDefault="008052FE" w:rsidP="008052FE">
      <w:pPr>
        <w:numPr>
          <w:ilvl w:val="2"/>
          <w:numId w:val="2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іалів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механізмів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інвентарю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вищевказаних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;</w:t>
      </w:r>
    </w:p>
    <w:p w:rsidR="008052FE" w:rsidRPr="000E34CA" w:rsidRDefault="008052FE" w:rsidP="008052FE">
      <w:pPr>
        <w:numPr>
          <w:ilvl w:val="2"/>
          <w:numId w:val="2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</w:rPr>
        <w:t xml:space="preserve">оплату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до свят (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фарби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вапна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фарбування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малих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архітектурних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форм),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розвішування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білбордів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;</w:t>
      </w:r>
    </w:p>
    <w:p w:rsidR="008052FE" w:rsidRPr="000E34CA" w:rsidRDefault="008052FE" w:rsidP="008052FE">
      <w:pPr>
        <w:numPr>
          <w:ilvl w:val="2"/>
          <w:numId w:val="2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транспортні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вивезенню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гілок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листя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сміття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парків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скверів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доріг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благоустрою;</w:t>
      </w:r>
    </w:p>
    <w:p w:rsidR="008052FE" w:rsidRPr="000E34CA" w:rsidRDefault="008052FE" w:rsidP="008052FE">
      <w:pPr>
        <w:numPr>
          <w:ilvl w:val="2"/>
          <w:numId w:val="2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</w:rPr>
        <w:t xml:space="preserve">оплату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експертних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звітів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комплексних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експертиз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погоджувальних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дозвільних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пов’язан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введенням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експлуатацію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балансі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в тому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парків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скверів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площ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майданчиків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малих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34CA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>ітектурних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форм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благоустрою;</w:t>
      </w:r>
    </w:p>
    <w:p w:rsidR="008052FE" w:rsidRPr="000E34CA" w:rsidRDefault="008052FE" w:rsidP="008052FE">
      <w:pPr>
        <w:numPr>
          <w:ilvl w:val="2"/>
          <w:numId w:val="2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популяризація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сучасного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вигляду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34CA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відео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друковану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продукцію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;</w:t>
      </w:r>
    </w:p>
    <w:p w:rsidR="008052FE" w:rsidRPr="000E34CA" w:rsidRDefault="008052FE" w:rsidP="008052FE">
      <w:pPr>
        <w:numPr>
          <w:ilvl w:val="2"/>
          <w:numId w:val="2"/>
        </w:numPr>
        <w:tabs>
          <w:tab w:val="num" w:pos="1260"/>
        </w:tabs>
        <w:suppressAutoHyphens w:val="0"/>
        <w:spacing w:after="0" w:line="240" w:lineRule="auto"/>
        <w:ind w:left="108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видатків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суперечать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 xml:space="preserve"> чинному </w:t>
      </w:r>
      <w:proofErr w:type="spellStart"/>
      <w:r w:rsidRPr="000E34CA">
        <w:rPr>
          <w:rFonts w:ascii="Times New Roman" w:hAnsi="Times New Roman" w:cs="Times New Roman"/>
          <w:sz w:val="24"/>
          <w:szCs w:val="24"/>
        </w:rPr>
        <w:t>законодавству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.</w:t>
      </w:r>
    </w:p>
    <w:p w:rsidR="00976434" w:rsidRDefault="008052FE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64FC"/>
    <w:multiLevelType w:val="hybridMultilevel"/>
    <w:tmpl w:val="45A098AC"/>
    <w:lvl w:ilvl="0" w:tplc="F3D285C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576701"/>
    <w:multiLevelType w:val="multilevel"/>
    <w:tmpl w:val="B304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AEF6D83"/>
    <w:multiLevelType w:val="hybridMultilevel"/>
    <w:tmpl w:val="F69EC350"/>
    <w:lvl w:ilvl="0" w:tplc="F3D285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F8E2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</w:rPr>
    </w:lvl>
    <w:lvl w:ilvl="3" w:tplc="8564CD4C">
      <w:numFmt w:val="bullet"/>
      <w:lvlText w:val="-"/>
      <w:lvlJc w:val="left"/>
      <w:pPr>
        <w:tabs>
          <w:tab w:val="num" w:pos="2883"/>
        </w:tabs>
        <w:ind w:left="2883" w:hanging="363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E638E6"/>
    <w:multiLevelType w:val="hybridMultilevel"/>
    <w:tmpl w:val="072C7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F97BC4"/>
    <w:multiLevelType w:val="hybridMultilevel"/>
    <w:tmpl w:val="DCF2B61E"/>
    <w:lvl w:ilvl="0" w:tplc="421EF0D4">
      <w:numFmt w:val="none"/>
      <w:lvlText w:val=""/>
      <w:lvlJc w:val="left"/>
      <w:pPr>
        <w:tabs>
          <w:tab w:val="num" w:pos="360"/>
        </w:tabs>
      </w:pPr>
    </w:lvl>
    <w:lvl w:ilvl="1" w:tplc="B53EAC92">
      <w:start w:val="1"/>
      <w:numFmt w:val="russianLow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D51E9A9E">
      <w:numFmt w:val="bullet"/>
      <w:lvlText w:val="-"/>
      <w:lvlJc w:val="left"/>
      <w:pPr>
        <w:tabs>
          <w:tab w:val="num" w:pos="1356"/>
        </w:tabs>
        <w:ind w:left="1356" w:hanging="363"/>
      </w:pPr>
      <w:rPr>
        <w:rFonts w:ascii="Times New Roman" w:eastAsia="Times New Roman" w:hAnsi="Times New Roman" w:cs="Times New Roman" w:hint="default"/>
      </w:rPr>
    </w:lvl>
    <w:lvl w:ilvl="3" w:tplc="203AB9E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520270E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C1417F4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C78297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D26482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ABA92A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542F6575"/>
    <w:multiLevelType w:val="hybridMultilevel"/>
    <w:tmpl w:val="F7B22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30864"/>
    <w:multiLevelType w:val="hybridMultilevel"/>
    <w:tmpl w:val="E4A2A3DA"/>
    <w:lvl w:ilvl="0" w:tplc="F3D285CC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2FE"/>
    <w:rsid w:val="0037192A"/>
    <w:rsid w:val="008052FE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2FE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52FE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1078</Words>
  <Characters>6149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2021-07-20T08:19:00Z</dcterms:created>
  <dcterms:modified xsi:type="dcterms:W3CDTF">2021-07-20T08:20:00Z</dcterms:modified>
</cp:coreProperties>
</file>