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E96" w:rsidRDefault="00A41E96" w:rsidP="00A41E96">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A41E96" w:rsidRDefault="00A41E96" w:rsidP="00A41E96">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A41E96" w:rsidRDefault="00A41E96" w:rsidP="00A41E96">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протягом </w:t>
      </w:r>
      <w:r w:rsidR="0018609C">
        <w:rPr>
          <w:rFonts w:ascii="Times New Roman" w:hAnsi="Times New Roman"/>
          <w:b/>
          <w:bCs/>
          <w:sz w:val="24"/>
          <w:szCs w:val="24"/>
          <w:lang w:val="uk-UA"/>
        </w:rPr>
        <w:t>січня-березня</w:t>
      </w:r>
      <w:r>
        <w:rPr>
          <w:rFonts w:ascii="Times New Roman" w:hAnsi="Times New Roman"/>
          <w:b/>
          <w:bCs/>
          <w:sz w:val="24"/>
          <w:szCs w:val="24"/>
          <w:lang w:val="uk-UA"/>
        </w:rPr>
        <w:t xml:space="preserve"> 2021 року.</w:t>
      </w:r>
    </w:p>
    <w:p w:rsidR="00A41E96" w:rsidRDefault="00A41E96" w:rsidP="00A41E96">
      <w:pPr>
        <w:overflowPunct w:val="0"/>
        <w:autoSpaceDE w:val="0"/>
        <w:autoSpaceDN w:val="0"/>
        <w:adjustRightInd w:val="0"/>
        <w:spacing w:after="0" w:line="240" w:lineRule="auto"/>
        <w:ind w:firstLine="567"/>
        <w:jc w:val="center"/>
        <w:rPr>
          <w:rFonts w:ascii="Times New Roman" w:hAnsi="Times New Roman"/>
          <w:b/>
          <w:bCs/>
          <w:sz w:val="24"/>
          <w:szCs w:val="24"/>
          <w:lang w:val="uk-UA"/>
        </w:rPr>
      </w:pPr>
    </w:p>
    <w:p w:rsidR="00A41E96" w:rsidRDefault="00A41E96" w:rsidP="0018609C">
      <w:p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 xml:space="preserve">Протягом </w:t>
      </w:r>
      <w:r w:rsidR="0018609C">
        <w:rPr>
          <w:rFonts w:ascii="Times New Roman" w:hAnsi="Times New Roman"/>
          <w:sz w:val="24"/>
          <w:szCs w:val="24"/>
          <w:lang w:val="uk-UA"/>
        </w:rPr>
        <w:t>січня-березня</w:t>
      </w:r>
      <w:r>
        <w:rPr>
          <w:rFonts w:ascii="Times New Roman" w:hAnsi="Times New Roman"/>
          <w:sz w:val="24"/>
          <w:szCs w:val="24"/>
          <w:lang w:val="uk-UA"/>
        </w:rPr>
        <w:t xml:space="preserve"> 2021 року до виконавчого комітету Знам`янської міської ради надійшло 540 звернень громадян (у відповідний період 2020 року – 445).</w:t>
      </w:r>
    </w:p>
    <w:p w:rsidR="00A41E96" w:rsidRDefault="00A41E96" w:rsidP="0018609C">
      <w:p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- 401 надійшло поштою (у відповідний період </w:t>
      </w:r>
      <w:r>
        <w:rPr>
          <w:rFonts w:ascii="Times New Roman" w:hAnsi="Times New Roman"/>
          <w:sz w:val="24"/>
          <w:szCs w:val="24"/>
          <w:lang w:val="uk-UA"/>
        </w:rPr>
        <w:br/>
        <w:t xml:space="preserve">2020 року – 302). </w:t>
      </w:r>
    </w:p>
    <w:p w:rsidR="00A41E96" w:rsidRDefault="00A41E96" w:rsidP="0018609C">
      <w:p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6 громадян (у відповідний період 2020 року – 41).</w:t>
      </w:r>
    </w:p>
    <w:p w:rsidR="00A41E96" w:rsidRDefault="00A41E96" w:rsidP="0018609C">
      <w:p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A41E96" w:rsidRDefault="00A41E96" w:rsidP="0018609C">
      <w:pPr>
        <w:numPr>
          <w:ilvl w:val="0"/>
          <w:numId w:val="1"/>
        </w:num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14 (у відповідний період 2020 року – 6);</w:t>
      </w:r>
    </w:p>
    <w:p w:rsidR="00A41E96" w:rsidRDefault="00A41E96" w:rsidP="0018609C">
      <w:pPr>
        <w:numPr>
          <w:ilvl w:val="0"/>
          <w:numId w:val="1"/>
        </w:num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119 (у відповідний період 2020 року – 96).</w:t>
      </w:r>
    </w:p>
    <w:p w:rsidR="00A41E96" w:rsidRDefault="00A41E96" w:rsidP="0018609C">
      <w:p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19 (у відповідний період 2020 року – 17), анонімних звернень – 3 (у відповідний період 2020 року – 3).</w:t>
      </w:r>
    </w:p>
    <w:p w:rsidR="00A41E96" w:rsidRDefault="00A41E96" w:rsidP="0018609C">
      <w:pPr>
        <w:overflowPunct w:val="0"/>
        <w:autoSpaceDE w:val="0"/>
        <w:autoSpaceDN w:val="0"/>
        <w:adjustRightInd w:val="0"/>
        <w:spacing w:after="0"/>
        <w:ind w:left="-142" w:firstLine="709"/>
        <w:jc w:val="both"/>
        <w:rPr>
          <w:rFonts w:ascii="Times New Roman" w:hAnsi="Times New Roman"/>
          <w:sz w:val="24"/>
          <w:szCs w:val="24"/>
          <w:lang w:val="uk-UA"/>
        </w:rPr>
      </w:pPr>
      <w:r>
        <w:rPr>
          <w:rFonts w:ascii="Times New Roman" w:hAnsi="Times New Roman"/>
          <w:sz w:val="24"/>
          <w:szCs w:val="24"/>
          <w:lang w:val="uk-UA"/>
        </w:rPr>
        <w:t>Кількість громадян, які звернулися – 992 (у відповідний період 2020 року – 622).</w:t>
      </w:r>
    </w:p>
    <w:p w:rsidR="00A41E96" w:rsidRDefault="00A41E96" w:rsidP="0018609C">
      <w:pPr>
        <w:autoSpaceDN w:val="0"/>
        <w:spacing w:after="0"/>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2021 року згідно Класифікатора звернень громадян:</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- 107 (за відповідний період 2020 року – 58); </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1 (за відповідний період 2020 року – 9); </w:t>
      </w:r>
    </w:p>
    <w:p w:rsidR="00A41E96" w:rsidRDefault="00A41E96" w:rsidP="0018609C">
      <w:pPr>
        <w:overflowPunct w:val="0"/>
        <w:autoSpaceDE w:val="0"/>
        <w:autoSpaceDN w:val="0"/>
        <w:adjustRightInd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5 (за відповідний період 2020 року – 11); </w:t>
      </w:r>
    </w:p>
    <w:p w:rsidR="00A41E96" w:rsidRDefault="00A41E96" w:rsidP="0018609C">
      <w:pPr>
        <w:overflowPunct w:val="0"/>
        <w:autoSpaceDE w:val="0"/>
        <w:autoSpaceDN w:val="0"/>
        <w:adjustRightInd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0 (за відповідний період 2020 року – 1);</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229 (за відповідний період 2020 року – 209);</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30 (за відповідний період 2020 року – 24);</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29 (за відповідний період 2020 року – 31);</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77 (за відповідний період 2020 року – 43);</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21 (за відповідний період 2020 року – 10);</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1 (за відповідний період 2020 року – 3);</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6 (за відповідний період 2020 року – 11);</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7 (за відповідний період</w:t>
      </w:r>
      <w:r>
        <w:rPr>
          <w:rFonts w:ascii="Times New Roman" w:hAnsi="Times New Roman"/>
          <w:sz w:val="24"/>
          <w:szCs w:val="24"/>
          <w:lang w:val="uk-UA" w:eastAsia="ru-RU"/>
        </w:rPr>
        <w:br/>
        <w:t>2020 року – 6);</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1 (за відповідний період 2020 року – 9);</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1 (за відповідний період 2020 року – 1);</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5 (за відповідний період 2020 року – 1);</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- 0 (за відповідний період 2020 року - 1);</w:t>
      </w:r>
    </w:p>
    <w:p w:rsidR="00A41E96" w:rsidRDefault="00A41E96" w:rsidP="0018609C">
      <w:pPr>
        <w:autoSpaceDN w:val="0"/>
        <w:spacing w:after="0"/>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27 (за відповідний період 2020 року – 33).</w:t>
      </w:r>
      <w:r>
        <w:rPr>
          <w:rFonts w:ascii="Times New Roman" w:hAnsi="Times New Roman"/>
          <w:sz w:val="24"/>
          <w:szCs w:val="24"/>
          <w:lang w:val="uk-UA" w:eastAsia="ru-RU"/>
        </w:rPr>
        <w:tab/>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соціальним станом авторів звернень: </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пенсіонерів – 93;</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з числа військовослужбовців – 15; </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робітників – 11;</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селяни – 1;</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1;</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lastRenderedPageBreak/>
        <w:t>- військовослужбовців – 1;</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підприємців – 4;</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безробітних – 17;</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інших – 397.</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2;</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дітей війни – 5;</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війни – 1;</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10;</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3;</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11;</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17;</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13;</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5;</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9; </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3;</w:t>
      </w:r>
    </w:p>
    <w:p w:rsidR="00A41E96" w:rsidRDefault="00A41E96" w:rsidP="0018609C">
      <w:pPr>
        <w:autoSpaceDN w:val="0"/>
        <w:spacing w:after="0"/>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461. </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229 (у порівняні з 2020 роком – 209), найбільше це питання: надання матеріальної допомоги на лікування, соціально-побутові питання, призначення та виплати соціальної допомоги, субсидій, правильності їх нарахування та ін.</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107 звернень (за відповідний період 2020 року надійшло 58). </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звітного періоду кількість таких звернень становила – 77 (у порівнянні з аналогічним періодом 2020 року – 43).</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eastAsia="ru-RU"/>
        </w:rPr>
        <w:t>Всіх заявників обов</w:t>
      </w:r>
      <w:proofErr w:type="gramStart"/>
      <w:r>
        <w:rPr>
          <w:rFonts w:ascii="Times New Roman" w:hAnsi="Times New Roman"/>
          <w:sz w:val="24"/>
          <w:szCs w:val="24"/>
          <w:lang w:eastAsia="ru-RU"/>
        </w:rPr>
        <w:t>`я</w:t>
      </w:r>
      <w:proofErr w:type="gramEnd"/>
      <w:r>
        <w:rPr>
          <w:rFonts w:ascii="Times New Roman" w:hAnsi="Times New Roman"/>
          <w:sz w:val="24"/>
          <w:szCs w:val="24"/>
          <w:lang w:eastAsia="ru-RU"/>
        </w:rPr>
        <w:t>зково повідомляють письмово про результати розгляду їх звернень у терміни, визначені законодавством України.</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До управління соціального захисту населення виконавчого комітету Знам’янської міської ради надійшло 236 письмових звернень громадян.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A41E96" w:rsidRDefault="00A41E96" w:rsidP="0018609C">
      <w:pPr>
        <w:spacing w:after="0"/>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Обстежено житлово-побутові умови проживання 50 пенсіонерів та осіб з інвалідністю, з них 35 осіб, які потребували сторонньої допомоги, прийнято на </w:t>
      </w:r>
      <w:r>
        <w:rPr>
          <w:rFonts w:ascii="Times New Roman" w:eastAsia="Times New Roman" w:hAnsi="Times New Roman"/>
          <w:sz w:val="24"/>
          <w:szCs w:val="24"/>
          <w:lang w:val="uk-UA" w:eastAsia="ru-RU"/>
        </w:rPr>
        <w:lastRenderedPageBreak/>
        <w:t>обслуговування відділенням соціальної допомоги вдома, припинено надання соціальної послуги догляду вдома з різних причин 23 особам. З метою контролю якості обслуговування та визначення ступеня потреб здійснені обстеження умов проживання 72 осіб, які перебувають на обліку терцентру.</w:t>
      </w:r>
    </w:p>
    <w:p w:rsidR="00A41E96" w:rsidRDefault="00A41E96" w:rsidP="0018609C">
      <w:pPr>
        <w:spacing w:after="0"/>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Центрі соціальних та компенсаційних виплат  нараховується </w:t>
      </w:r>
      <w:r>
        <w:rPr>
          <w:rFonts w:ascii="Times New Roman" w:eastAsia="Times New Roman" w:hAnsi="Times New Roman"/>
          <w:sz w:val="24"/>
          <w:szCs w:val="24"/>
          <w:lang w:eastAsia="ru-RU"/>
        </w:rPr>
        <w:t xml:space="preserve">  6237 </w:t>
      </w:r>
      <w:r>
        <w:rPr>
          <w:rFonts w:ascii="Times New Roman" w:eastAsia="Times New Roman" w:hAnsi="Times New Roman"/>
          <w:sz w:val="24"/>
          <w:szCs w:val="24"/>
          <w:lang w:val="uk-UA" w:eastAsia="ru-RU"/>
        </w:rPr>
        <w:t xml:space="preserve"> отримувачів адресних допомог, в тому числі: адресних соціальних допомог – </w:t>
      </w:r>
      <w:r>
        <w:rPr>
          <w:rFonts w:ascii="Times New Roman" w:eastAsia="Times New Roman" w:hAnsi="Times New Roman"/>
          <w:sz w:val="24"/>
          <w:szCs w:val="24"/>
          <w:lang w:eastAsia="ru-RU"/>
        </w:rPr>
        <w:t>2102</w:t>
      </w:r>
      <w:r>
        <w:rPr>
          <w:rFonts w:ascii="Times New Roman" w:eastAsia="Times New Roman" w:hAnsi="Times New Roman"/>
          <w:sz w:val="24"/>
          <w:szCs w:val="24"/>
          <w:lang w:val="uk-UA" w:eastAsia="ru-RU"/>
        </w:rPr>
        <w:t xml:space="preserve">; субсидій </w:t>
      </w:r>
      <w:r>
        <w:rPr>
          <w:rFonts w:ascii="Times New Roman" w:eastAsia="Times New Roman" w:hAnsi="Times New Roman"/>
          <w:sz w:val="24"/>
          <w:szCs w:val="24"/>
          <w:lang w:eastAsia="ru-RU"/>
        </w:rPr>
        <w:t>-3851</w:t>
      </w:r>
      <w:r>
        <w:rPr>
          <w:rFonts w:ascii="Times New Roman" w:eastAsia="Times New Roman" w:hAnsi="Times New Roman"/>
          <w:sz w:val="24"/>
          <w:szCs w:val="24"/>
          <w:lang w:val="uk-UA" w:eastAsia="ru-RU"/>
        </w:rPr>
        <w:t xml:space="preserve">; компенсацій постраждалим внаслідок аварії на ЧАЕС – </w:t>
      </w:r>
      <w:r>
        <w:rPr>
          <w:rFonts w:ascii="Times New Roman" w:eastAsia="Times New Roman" w:hAnsi="Times New Roman"/>
          <w:sz w:val="24"/>
          <w:szCs w:val="24"/>
          <w:lang w:eastAsia="ru-RU"/>
        </w:rPr>
        <w:t>154</w:t>
      </w:r>
      <w:r>
        <w:rPr>
          <w:rFonts w:ascii="Times New Roman" w:eastAsia="Times New Roman" w:hAnsi="Times New Roman"/>
          <w:sz w:val="24"/>
          <w:szCs w:val="24"/>
          <w:lang w:val="uk-UA" w:eastAsia="ru-RU"/>
        </w:rPr>
        <w:t>; допомога переміщеним особам – 130.</w:t>
      </w:r>
    </w:p>
    <w:p w:rsidR="00A41E96" w:rsidRDefault="00A41E96" w:rsidP="0018609C">
      <w:pPr>
        <w:spacing w:after="0"/>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Призначено допомог згідно Законів України «Про державну допомогу сім’ям з дітьми» та   «Державну   соціальну   допомогу   малозабезпеченим  сім’ям»  1612 сім’ям  на суму 15594.9тис. грн., у тому числі державну соціальну допомогу дітям з інвалідністю та особам з інвалідністю з дитинства І-ІІІ груп отримали  465 осіб на суму 3334.4тис. грн., тимчасову допомогу сім’ям з дітьми (замість аліментів) –11 осіб на суму 35.4тис. грн. Допомогу по догляду за психічно-хворими особами з інвалідністю І та ІІ груп отримують </w:t>
      </w:r>
      <w:r>
        <w:rPr>
          <w:rFonts w:ascii="Times New Roman" w:eastAsia="Times New Roman" w:hAnsi="Times New Roman"/>
          <w:sz w:val="24"/>
          <w:szCs w:val="24"/>
          <w:lang w:eastAsia="ru-RU"/>
        </w:rPr>
        <w:t>66</w:t>
      </w:r>
      <w:r>
        <w:rPr>
          <w:rFonts w:ascii="Times New Roman" w:eastAsia="Times New Roman" w:hAnsi="Times New Roman"/>
          <w:sz w:val="24"/>
          <w:szCs w:val="24"/>
          <w:lang w:val="uk-UA" w:eastAsia="ru-RU"/>
        </w:rPr>
        <w:t xml:space="preserve"> осіб.</w:t>
      </w:r>
    </w:p>
    <w:p w:rsidR="00A41E96" w:rsidRDefault="00A41E96" w:rsidP="0018609C">
      <w:pPr>
        <w:spacing w:after="0"/>
        <w:jc w:val="both"/>
        <w:rPr>
          <w:rFonts w:ascii="Times New Roman" w:hAnsi="Times New Roman"/>
          <w:sz w:val="24"/>
          <w:szCs w:val="24"/>
          <w:lang w:val="uk-UA"/>
        </w:rPr>
      </w:pPr>
      <w:r>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w:t>
      </w:r>
      <w:r>
        <w:rPr>
          <w:rFonts w:ascii="Times New Roman" w:hAnsi="Times New Roman"/>
          <w:sz w:val="24"/>
          <w:szCs w:val="24"/>
        </w:rPr>
        <w:t xml:space="preserve"> 10882.3</w:t>
      </w:r>
      <w:r>
        <w:rPr>
          <w:rFonts w:ascii="Times New Roman" w:hAnsi="Times New Roman"/>
          <w:sz w:val="24"/>
          <w:szCs w:val="24"/>
          <w:lang w:val="uk-UA"/>
        </w:rPr>
        <w:t xml:space="preserve"> тис. грн.</w:t>
      </w:r>
    </w:p>
    <w:p w:rsidR="00A41E96" w:rsidRDefault="00A41E96" w:rsidP="0018609C">
      <w:pPr>
        <w:spacing w:after="0"/>
        <w:ind w:firstLine="74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в УСЗН перебуває 271 внутрішньо переміщена особа з тимчасово окупованої території України та районів проведення АТО/ООС. Довідки про взяття на облік видано 527 особам. </w:t>
      </w:r>
    </w:p>
    <w:p w:rsidR="00A41E96" w:rsidRDefault="00A41E96" w:rsidP="0018609C">
      <w:pPr>
        <w:spacing w:after="0"/>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умовах карантину, в межах чинного законодавства, управління здійснює прийом громадян в обмеженому доступі: за попереднім записом, в телефонному режимі, через засоби електронного обміну, шляхом листування.</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Протягом </w:t>
      </w:r>
      <w:r w:rsidR="0018609C">
        <w:rPr>
          <w:rFonts w:ascii="Times New Roman" w:hAnsi="Times New Roman"/>
          <w:sz w:val="24"/>
          <w:szCs w:val="24"/>
          <w:lang w:val="uk-UA" w:eastAsia="ru-RU"/>
        </w:rPr>
        <w:t>січня-березня б</w:t>
      </w:r>
      <w:r>
        <w:rPr>
          <w:rFonts w:ascii="Times New Roman" w:hAnsi="Times New Roman"/>
          <w:sz w:val="24"/>
          <w:szCs w:val="24"/>
          <w:lang w:val="uk-UA" w:eastAsia="ru-RU"/>
        </w:rPr>
        <w:t>уло проведено 3 засідання міської постійно діючої комісії виконавчого комітету Знам’янської міської ради з питань розгляду звернень громадян, згідно графіку. 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Забезпечено оперативний розгляд звернень та своєчасне інформування заявників. Відсутні зауваження щодо організації роботи із зверненнями громадян у виконавчому комітеті Знам’янської міської ради. Згідно інформації щодо реагування на звернення громадян, які надійшли протягом </w:t>
      </w:r>
      <w:r w:rsidR="0018609C">
        <w:rPr>
          <w:rFonts w:ascii="Times New Roman" w:hAnsi="Times New Roman"/>
          <w:sz w:val="24"/>
          <w:szCs w:val="24"/>
          <w:lang w:val="uk-UA" w:eastAsia="ru-RU"/>
        </w:rPr>
        <w:t xml:space="preserve">січня-березня </w:t>
      </w:r>
      <w:r>
        <w:rPr>
          <w:rFonts w:ascii="Times New Roman" w:hAnsi="Times New Roman"/>
          <w:sz w:val="24"/>
          <w:szCs w:val="24"/>
          <w:lang w:val="uk-UA" w:eastAsia="ru-RU"/>
        </w:rPr>
        <w:t>2021 року:</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242</w:t>
      </w:r>
      <w:r>
        <w:rPr>
          <w:rFonts w:ascii="Times New Roman" w:hAnsi="Times New Roman"/>
          <w:sz w:val="24"/>
          <w:szCs w:val="24"/>
          <w:lang w:eastAsia="ru-RU"/>
        </w:rPr>
        <w:t xml:space="preserve"> - позитивно вирішенних звернень</w:t>
      </w:r>
      <w:r>
        <w:rPr>
          <w:rFonts w:ascii="Times New Roman" w:hAnsi="Times New Roman"/>
          <w:sz w:val="24"/>
          <w:szCs w:val="24"/>
          <w:lang w:val="uk-UA" w:eastAsia="ru-RU"/>
        </w:rPr>
        <w:t>;</w:t>
      </w:r>
    </w:p>
    <w:p w:rsidR="00A41E96" w:rsidRDefault="00A41E96" w:rsidP="0018609C">
      <w:pPr>
        <w:autoSpaceDN w:val="0"/>
        <w:spacing w:after="0"/>
        <w:ind w:firstLine="708"/>
        <w:jc w:val="both"/>
        <w:rPr>
          <w:rFonts w:ascii="Times New Roman" w:hAnsi="Times New Roman"/>
          <w:sz w:val="24"/>
          <w:szCs w:val="24"/>
          <w:lang w:eastAsia="ru-RU"/>
        </w:rPr>
      </w:pPr>
      <w:r>
        <w:rPr>
          <w:rFonts w:ascii="Times New Roman" w:hAnsi="Times New Roman"/>
          <w:sz w:val="24"/>
          <w:szCs w:val="24"/>
          <w:lang w:val="uk-UA" w:eastAsia="ru-RU"/>
        </w:rPr>
        <w:t>183</w:t>
      </w:r>
      <w:r>
        <w:rPr>
          <w:rFonts w:ascii="Times New Roman" w:hAnsi="Times New Roman"/>
          <w:sz w:val="24"/>
          <w:szCs w:val="24"/>
          <w:lang w:eastAsia="ru-RU"/>
        </w:rPr>
        <w:t xml:space="preserve"> – дано роз’яснення;</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115</w:t>
      </w:r>
      <w:r>
        <w:rPr>
          <w:rFonts w:ascii="Times New Roman" w:hAnsi="Times New Roman"/>
          <w:sz w:val="24"/>
          <w:szCs w:val="24"/>
          <w:lang w:eastAsia="ru-RU"/>
        </w:rPr>
        <w:t xml:space="preserve"> – заходи вживаються.</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bookmarkStart w:id="0" w:name="_GoBack"/>
    </w:p>
    <w:bookmarkEnd w:id="0"/>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lastRenderedPageBreak/>
        <w:t>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A41E96" w:rsidRDefault="00A41E96" w:rsidP="0018609C">
      <w:pPr>
        <w:autoSpaceDN w:val="0"/>
        <w:spacing w:after="0"/>
        <w:ind w:firstLine="708"/>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A41E96" w:rsidRDefault="00A41E96" w:rsidP="0018609C">
      <w:pPr>
        <w:autoSpaceDN w:val="0"/>
        <w:spacing w:after="0"/>
        <w:jc w:val="both"/>
        <w:rPr>
          <w:rFonts w:ascii="Times New Roman" w:hAnsi="Times New Roman"/>
          <w:b/>
          <w:sz w:val="24"/>
          <w:szCs w:val="24"/>
          <w:lang w:val="uk-UA" w:eastAsia="ru-RU"/>
        </w:rPr>
      </w:pPr>
    </w:p>
    <w:p w:rsidR="00A41E96" w:rsidRPr="00A41E96" w:rsidRDefault="00A41E96" w:rsidP="0018609C">
      <w:pPr>
        <w:autoSpaceDN w:val="0"/>
        <w:spacing w:after="0"/>
        <w:jc w:val="both"/>
        <w:rPr>
          <w:rFonts w:ascii="Times New Roman" w:hAnsi="Times New Roman"/>
          <w:b/>
          <w:sz w:val="24"/>
          <w:szCs w:val="24"/>
          <w:lang w:val="uk-UA" w:eastAsia="ru-RU"/>
        </w:rPr>
      </w:pPr>
      <w:r w:rsidRPr="00A41E96">
        <w:rPr>
          <w:rFonts w:ascii="Times New Roman" w:hAnsi="Times New Roman"/>
          <w:b/>
          <w:sz w:val="24"/>
          <w:szCs w:val="24"/>
          <w:lang w:val="uk-UA" w:eastAsia="ru-RU"/>
        </w:rPr>
        <w:t>Начальник відділу загального, контролю</w:t>
      </w:r>
    </w:p>
    <w:p w:rsidR="00A41E96" w:rsidRPr="00A41E96" w:rsidRDefault="00A41E96" w:rsidP="0018609C">
      <w:pPr>
        <w:tabs>
          <w:tab w:val="left" w:pos="6946"/>
        </w:tabs>
        <w:autoSpaceDN w:val="0"/>
        <w:spacing w:after="0"/>
        <w:jc w:val="both"/>
        <w:rPr>
          <w:rFonts w:asciiTheme="minorHAnsi" w:eastAsiaTheme="minorHAnsi" w:hAnsiTheme="minorHAnsi" w:cstheme="minorBidi"/>
          <w:lang w:val="uk-UA"/>
        </w:rPr>
      </w:pPr>
      <w:r w:rsidRPr="00A41E96">
        <w:rPr>
          <w:rFonts w:ascii="Times New Roman" w:hAnsi="Times New Roman"/>
          <w:b/>
          <w:sz w:val="24"/>
          <w:szCs w:val="24"/>
          <w:lang w:val="uk-UA" w:eastAsia="ru-RU"/>
        </w:rPr>
        <w:t>та роботи із зверненнями громадян</w:t>
      </w:r>
      <w:r w:rsidRPr="00A41E96">
        <w:rPr>
          <w:rFonts w:ascii="Times New Roman" w:hAnsi="Times New Roman"/>
          <w:b/>
          <w:sz w:val="24"/>
          <w:szCs w:val="24"/>
          <w:lang w:val="uk-UA" w:eastAsia="ru-RU"/>
        </w:rPr>
        <w:tab/>
        <w:t>Олена ГРИГОР’ЄВА</w:t>
      </w:r>
    </w:p>
    <w:p w:rsidR="00A41E96" w:rsidRPr="00A41E96" w:rsidRDefault="00A41E96" w:rsidP="0018609C">
      <w:pPr>
        <w:rPr>
          <w:rFonts w:asciiTheme="minorHAnsi" w:eastAsiaTheme="minorHAnsi" w:hAnsiTheme="minorHAnsi" w:cstheme="minorBidi"/>
          <w:lang w:val="uk-UA"/>
        </w:rPr>
      </w:pPr>
    </w:p>
    <w:p w:rsidR="00A41E96" w:rsidRDefault="00A41E96" w:rsidP="0018609C">
      <w:pPr>
        <w:autoSpaceDN w:val="0"/>
        <w:spacing w:after="0"/>
        <w:jc w:val="both"/>
        <w:rPr>
          <w:rFonts w:ascii="Times New Roman" w:hAnsi="Times New Roman"/>
          <w:sz w:val="24"/>
          <w:szCs w:val="24"/>
          <w:lang w:val="uk-UA" w:eastAsia="ru-RU"/>
        </w:rPr>
      </w:pPr>
    </w:p>
    <w:p w:rsidR="00A41E96" w:rsidRDefault="00A41E96" w:rsidP="0018609C">
      <w:pPr>
        <w:spacing w:after="0"/>
        <w:ind w:left="-142"/>
        <w:rPr>
          <w:rFonts w:ascii="Times New Roman" w:hAnsi="Times New Roman"/>
          <w:sz w:val="24"/>
          <w:szCs w:val="24"/>
          <w:lang w:val="uk-UA" w:eastAsia="ru-RU"/>
        </w:rPr>
      </w:pPr>
    </w:p>
    <w:p w:rsidR="00085BC9" w:rsidRPr="00A41E96" w:rsidRDefault="00085BC9" w:rsidP="0018609C">
      <w:pPr>
        <w:rPr>
          <w:lang w:val="uk-UA"/>
        </w:rPr>
      </w:pPr>
    </w:p>
    <w:sectPr w:rsidR="00085BC9" w:rsidRPr="00A41E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E96"/>
    <w:rsid w:val="00085BC9"/>
    <w:rsid w:val="0018609C"/>
    <w:rsid w:val="005E7F50"/>
    <w:rsid w:val="00A41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E9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E9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10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1481</Words>
  <Characters>8442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3</cp:revision>
  <dcterms:created xsi:type="dcterms:W3CDTF">2021-05-31T07:20:00Z</dcterms:created>
  <dcterms:modified xsi:type="dcterms:W3CDTF">2021-05-31T07:26:00Z</dcterms:modified>
</cp:coreProperties>
</file>