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2C2" w:rsidRDefault="003340EC" w:rsidP="008B6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bookmarkStart w:id="0" w:name="_GoBack"/>
      <w:bookmarkEnd w:id="0"/>
      <w:r w:rsidRPr="000276D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АНАЛІЗ РЕГУЛЯТОРНОГО ВПЛИВУ</w:t>
      </w:r>
    </w:p>
    <w:p w:rsidR="00C42F9C" w:rsidRDefault="00C42F9C" w:rsidP="008B6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3340EC" w:rsidRPr="000276DB" w:rsidRDefault="003340EC" w:rsidP="00C42F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276D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</w:t>
      </w:r>
      <w:r w:rsidR="00B56C9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є</w:t>
      </w:r>
      <w:r w:rsidRPr="000276D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кту рішення </w:t>
      </w:r>
      <w:r w:rsidR="00F722C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Знам’янської </w:t>
      </w:r>
      <w:r w:rsidRPr="000276D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 «Про затвердження</w:t>
      </w:r>
      <w:r w:rsidR="00C42F9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B939D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</w:t>
      </w:r>
      <w:r w:rsidR="00C42F9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оложення про оренду комунального майна Знам’янської територіальної громади та забезпечення відносин у сфері оренди комунального майна»</w:t>
      </w:r>
    </w:p>
    <w:p w:rsidR="00C20D91" w:rsidRPr="004810FD" w:rsidRDefault="00C20D91" w:rsidP="00C20D9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24"/>
          <w:lang w:val="uk-UA" w:eastAsia="ru-RU"/>
        </w:rPr>
      </w:pPr>
    </w:p>
    <w:p w:rsidR="00C20D91" w:rsidRDefault="003340EC" w:rsidP="005A4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0276D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І. Визначення </w:t>
      </w:r>
      <w:r w:rsidR="005A4A2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проблеми</w:t>
      </w:r>
    </w:p>
    <w:p w:rsidR="005A4A2B" w:rsidRDefault="005A4A2B" w:rsidP="005A4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1F7B85" w:rsidRDefault="003340EC" w:rsidP="00CD3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276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Закон </w:t>
      </w:r>
      <w:r w:rsidR="001F7B85" w:rsidRPr="000276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 «Про оренду державного та комун</w:t>
      </w:r>
      <w:r w:rsidR="001F7B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ального майна» від 03.10.2019 року</w:t>
      </w:r>
      <w:r w:rsidR="001F7B85" w:rsidRPr="000276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№157-IX </w:t>
      </w:r>
      <w:r w:rsidR="001F7B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(далі Закон) </w:t>
      </w:r>
      <w:r w:rsidRPr="000276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передбачає затвердження Кабінетом Міністрів України ряду підзаконних нормативно-правових актів щодо оренди державного майна та можливість для представницьких органів місцевого самоврядування самостійного розроблення та затвердження нормативних актів щодо комунального майна з метою врахування особливостей такого майна. Зокрема, щодо комунального майна Законом передбачено можливість затвердження представницькими органами місцевого самоврядування Примірного договору оренди (стаття 16), Методики розрахунку орендної плати, в тому числі і орендних ставок, Порядку розподілу орендної плати (стаття 17), Порядку виконання контрольних функцій (стаття 26), Додаткового переліку підприємств, установ, організацій, що надають соціально важливі послуги населенню (стаття 18) тощо. </w:t>
      </w:r>
    </w:p>
    <w:p w:rsidR="003340EC" w:rsidRPr="000276DB" w:rsidRDefault="00EB16B8" w:rsidP="00CD3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Станом на 01.01.2021 року діяли 46 договорів оренди об’єктів </w:t>
      </w:r>
      <w:r w:rsidR="009C4F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комунальної власності із 41</w:t>
      </w:r>
      <w:r w:rsidR="005968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C4F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суб’єктом</w:t>
      </w:r>
      <w:r w:rsidR="005968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господарювання. </w:t>
      </w:r>
      <w:r w:rsidR="001F7B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даний час</w:t>
      </w:r>
      <w:r w:rsidR="003340EC" w:rsidRPr="000276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 є необхідність затвердження передбачених Законом нормативно-правових актів з питань оренди комунального майна </w:t>
      </w:r>
      <w:r w:rsidR="001F7B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Знам’янської </w:t>
      </w:r>
      <w:r w:rsidR="003340EC" w:rsidRPr="000276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r w:rsidR="001F7B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ериторіальної громади</w:t>
      </w:r>
      <w:r w:rsidR="003340EC" w:rsidRPr="000276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C10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Відсутність таких актів не дає можливості </w:t>
      </w:r>
      <w:r w:rsidR="00146B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створити реєстр комунального майна</w:t>
      </w:r>
      <w:r w:rsidR="00AA1F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передачі його</w:t>
      </w:r>
      <w:r w:rsidR="00146B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оренду</w:t>
      </w:r>
      <w:r w:rsidR="00AA1F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шляхом </w:t>
      </w:r>
      <w:r w:rsidR="00C10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пров</w:t>
      </w:r>
      <w:r w:rsidR="00146B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едення  аукціону</w:t>
      </w:r>
      <w:r w:rsidR="00AA1F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C10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продовж</w:t>
      </w:r>
      <w:r w:rsidR="001742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C10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 договори оренди без проведення аукціонів</w:t>
      </w:r>
      <w:r w:rsidR="006262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D025F" w:rsidRPr="006A779A" w:rsidRDefault="000D025F" w:rsidP="004F5704">
      <w:pPr>
        <w:spacing w:after="0" w:line="240" w:lineRule="auto"/>
        <w:rPr>
          <w:rFonts w:ascii="Times New Roman" w:eastAsia="Times New Roman" w:hAnsi="Times New Roman" w:cs="Times New Roman"/>
          <w:sz w:val="12"/>
          <w:szCs w:val="24"/>
          <w:lang w:val="uk-UA" w:eastAsia="ru-RU"/>
        </w:rPr>
      </w:pPr>
    </w:p>
    <w:p w:rsidR="004F5704" w:rsidRDefault="004F5704" w:rsidP="004F57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Основні групи на які проблема справляє вплив</w:t>
      </w:r>
      <w:r w:rsidR="000D02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4F5704" w:rsidRPr="005261F2" w:rsidRDefault="004F5704" w:rsidP="004F570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val="uk-UA"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84"/>
        <w:gridCol w:w="1417"/>
        <w:gridCol w:w="1843"/>
      </w:tblGrid>
      <w:tr w:rsidR="003340EC" w:rsidRPr="000276DB" w:rsidTr="00E13A46">
        <w:trPr>
          <w:tblCellSpacing w:w="0" w:type="dxa"/>
        </w:trPr>
        <w:tc>
          <w:tcPr>
            <w:tcW w:w="5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40EC" w:rsidRPr="000276DB" w:rsidRDefault="003340EC" w:rsidP="003340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Групи (підгрупи)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40EC" w:rsidRPr="000276DB" w:rsidRDefault="003340EC" w:rsidP="007F61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Так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40EC" w:rsidRPr="000276DB" w:rsidRDefault="003340EC" w:rsidP="007F61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Ні</w:t>
            </w:r>
          </w:p>
        </w:tc>
      </w:tr>
      <w:tr w:rsidR="003340EC" w:rsidRPr="000276DB" w:rsidTr="00E13A46">
        <w:trPr>
          <w:tblCellSpacing w:w="0" w:type="dxa"/>
        </w:trPr>
        <w:tc>
          <w:tcPr>
            <w:tcW w:w="5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40EC" w:rsidRPr="000276DB" w:rsidRDefault="003340EC" w:rsidP="003340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Громадяни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40EC" w:rsidRPr="000276DB" w:rsidRDefault="00A31F6D" w:rsidP="00A31F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40EC" w:rsidRPr="000276DB" w:rsidRDefault="00A31F6D" w:rsidP="00A31F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3340EC" w:rsidRPr="000276DB" w:rsidTr="00E13A46">
        <w:trPr>
          <w:tblCellSpacing w:w="0" w:type="dxa"/>
        </w:trPr>
        <w:tc>
          <w:tcPr>
            <w:tcW w:w="5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40EC" w:rsidRPr="000276DB" w:rsidRDefault="003340EC" w:rsidP="003340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Держава в особі органів місцевого самоврядування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40EC" w:rsidRPr="000276DB" w:rsidRDefault="003340EC" w:rsidP="00A31F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40EC" w:rsidRPr="000276DB" w:rsidRDefault="003340EC" w:rsidP="00A31F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3340EC" w:rsidRPr="000276DB" w:rsidTr="00E13A46">
        <w:trPr>
          <w:tblCellSpacing w:w="0" w:type="dxa"/>
        </w:trPr>
        <w:tc>
          <w:tcPr>
            <w:tcW w:w="5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40EC" w:rsidRPr="000276DB" w:rsidRDefault="003340EC" w:rsidP="003340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Суб’єкти господарювання,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40EC" w:rsidRPr="000276DB" w:rsidRDefault="003340EC" w:rsidP="00A31F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40EC" w:rsidRPr="000276DB" w:rsidRDefault="003340EC" w:rsidP="00A31F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3340EC" w:rsidRPr="000276DB" w:rsidTr="00E13A46">
        <w:trPr>
          <w:tblCellSpacing w:w="0" w:type="dxa"/>
        </w:trPr>
        <w:tc>
          <w:tcPr>
            <w:tcW w:w="5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40EC" w:rsidRPr="000276DB" w:rsidRDefault="003340EC" w:rsidP="003340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тому числі суб’єкти малого підприємства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40EC" w:rsidRPr="000276DB" w:rsidRDefault="003340EC" w:rsidP="00A31F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40EC" w:rsidRPr="000276DB" w:rsidRDefault="003340EC" w:rsidP="00A31F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</w:tbl>
    <w:p w:rsidR="00AC4E7A" w:rsidRDefault="00AC4E7A" w:rsidP="00AC4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340EC" w:rsidRDefault="005A4A2B" w:rsidP="005A4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ІІ</w:t>
      </w:r>
      <w:r w:rsidR="003340EC" w:rsidRPr="000276D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Цілі державного регулювання</w:t>
      </w:r>
    </w:p>
    <w:p w:rsidR="005A4A2B" w:rsidRPr="000276DB" w:rsidRDefault="005A4A2B" w:rsidP="005A4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A23C4" w:rsidRPr="009A23C4" w:rsidRDefault="009A23C4" w:rsidP="00AC4E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A23C4">
        <w:rPr>
          <w:rFonts w:ascii="Times New Roman" w:hAnsi="Times New Roman" w:cs="Times New Roman"/>
          <w:sz w:val="24"/>
          <w:szCs w:val="24"/>
          <w:lang w:val="uk-UA"/>
        </w:rPr>
        <w:t>Метою здійснення державного регулювання:</w:t>
      </w:r>
    </w:p>
    <w:p w:rsidR="009A23C4" w:rsidRPr="009A23C4" w:rsidRDefault="009A23C4" w:rsidP="009A23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A23C4">
        <w:rPr>
          <w:rFonts w:ascii="Times New Roman" w:hAnsi="Times New Roman" w:cs="Times New Roman"/>
          <w:sz w:val="24"/>
          <w:szCs w:val="24"/>
          <w:lang w:val="uk-UA"/>
        </w:rPr>
        <w:t>- впорядкування правових та економічних відносин у сфері оренди майна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A23C4">
        <w:rPr>
          <w:rFonts w:ascii="Times New Roman" w:hAnsi="Times New Roman" w:cs="Times New Roman"/>
          <w:sz w:val="24"/>
          <w:szCs w:val="24"/>
          <w:lang w:val="uk-UA"/>
        </w:rPr>
        <w:t>комунальної власності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Знам’янської </w:t>
      </w:r>
      <w:r w:rsidRPr="009A23C4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громади;</w:t>
      </w:r>
    </w:p>
    <w:p w:rsidR="009A23C4" w:rsidRDefault="009A23C4" w:rsidP="009A23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9A23C4">
        <w:rPr>
          <w:rFonts w:ascii="Times New Roman" w:hAnsi="Times New Roman" w:cs="Times New Roman"/>
          <w:sz w:val="24"/>
          <w:szCs w:val="24"/>
          <w:lang w:val="uk-UA"/>
        </w:rPr>
        <w:t>приведення у відповідність до вимог чинного законодавства процедури передачі в оренду майна комунальної власності Знам’янської територіальної громади;</w:t>
      </w:r>
    </w:p>
    <w:p w:rsidR="009A23C4" w:rsidRPr="009A23C4" w:rsidRDefault="009A23C4" w:rsidP="009A23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0276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передача об’єктів комунальної власності на конкурсних засадах, способом проведення електронного аукціону з надання майна в оренду через електронну торгову систему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276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забезпечить високий рівень відкритості, доступності інформації щодо проведення процедур передачі комунального майна в оренду, виключить корупційні ризики при передачі комунального майна в оренду, забезпечить високий рівень довіри до органів місцевого самоврядування, як до суб’єкта господарсько-правових відносин</w:t>
      </w:r>
      <w:r w:rsidR="00CD3D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340EC" w:rsidRDefault="003340EC" w:rsidP="00FE1E6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0276D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ІІІ. Визначення та оцінка альтернативних способів досягнення цілей</w:t>
      </w:r>
    </w:p>
    <w:p w:rsidR="003340EC" w:rsidRPr="000276DB" w:rsidRDefault="003340EC" w:rsidP="003340E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276D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Визначення альтернативних способів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8"/>
        <w:gridCol w:w="7107"/>
      </w:tblGrid>
      <w:tr w:rsidR="003340EC" w:rsidRPr="000276DB" w:rsidTr="003340E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40EC" w:rsidRPr="000276DB" w:rsidRDefault="003340EC" w:rsidP="003340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Вид альтернативи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40EC" w:rsidRPr="000276DB" w:rsidRDefault="003340EC" w:rsidP="003041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Опис альтернативи</w:t>
            </w:r>
          </w:p>
        </w:tc>
      </w:tr>
      <w:tr w:rsidR="003340EC" w:rsidRPr="00F722C2" w:rsidTr="00C466B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0EC" w:rsidRPr="000276DB" w:rsidRDefault="003340EC" w:rsidP="00C466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Альтернатива 1.</w:t>
            </w:r>
          </w:p>
          <w:p w:rsidR="003340EC" w:rsidRPr="000276DB" w:rsidRDefault="003340EC" w:rsidP="00C466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Збере</w:t>
            </w:r>
            <w:r w:rsidR="00C466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ження ситуації, яка існує на даний </w:t>
            </w: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40EC" w:rsidRPr="000276DB" w:rsidRDefault="003340EC" w:rsidP="00826A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Не дозволить досягти цілей державного регулювання, оскільки, чинні нормативні правові акти </w:t>
            </w:r>
            <w:r w:rsidR="005A7D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Знам’янської міської ради </w:t>
            </w: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 питань </w:t>
            </w:r>
            <w:r w:rsidR="005A7D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оренди не відповідають прийнятим законодавчим актам </w:t>
            </w: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 питань оренди комунального майна, не передбачають механізму передачі майна в оренду способом проведення електронного аукціону з надання майна в оренду через електронну торгову систему. </w:t>
            </w:r>
          </w:p>
        </w:tc>
      </w:tr>
      <w:tr w:rsidR="003340EC" w:rsidRPr="000276DB" w:rsidTr="00D94D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40EC" w:rsidRPr="000276DB" w:rsidRDefault="003340EC" w:rsidP="00D94DF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Альтернатива 2.</w:t>
            </w:r>
          </w:p>
          <w:p w:rsidR="003340EC" w:rsidRPr="000276DB" w:rsidRDefault="00A52140" w:rsidP="00D94DF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Прийняття запропонованого проє</w:t>
            </w:r>
            <w:r w:rsidR="003340EC"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кту рішення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5808" w:rsidRDefault="006B5808" w:rsidP="00842C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Такий спосіб є найбільш ефективним та прийнятним. </w:t>
            </w:r>
          </w:p>
          <w:p w:rsidR="003340EC" w:rsidRPr="000276DB" w:rsidRDefault="003340EC" w:rsidP="00842C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 Забезпечить правове регулювання орендних відносин на місцевому рівні з врахуванням особливостей оренди комунального майна та в межах, дозволених Законом. Відповідно до положень нового </w:t>
            </w:r>
            <w:r w:rsidR="00CD3D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Закону України</w:t>
            </w: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«Про оренду державного та комунального майна» будуть прийняті нормативні акти щодо оренди комунального майна </w:t>
            </w:r>
            <w:r w:rsidR="00146B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Знам’янської </w:t>
            </w: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територіальної громади.</w:t>
            </w:r>
          </w:p>
          <w:p w:rsidR="003340EC" w:rsidRPr="000276DB" w:rsidRDefault="003340EC" w:rsidP="00842C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2. Прийняття запропонованих нормативних актів дасть змогу реалізувати норми нового </w:t>
            </w:r>
            <w:r w:rsidR="00CD3D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Закону України</w:t>
            </w: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«Про оренду   державного та комунального майна» з врахуванням особливостей оренди комунального майна та в межах, дозволених цим Законом. А саме, передавати в оренду об’єкти комунальної власності територіальної громади на конкурентних засадах способом проведення електронного аукціону з надання майна в оренду (в тому числі електронного аукціону щодо продовження договору оренди)</w:t>
            </w:r>
            <w:r w:rsidRPr="00027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.</w:t>
            </w:r>
          </w:p>
          <w:p w:rsidR="003340EC" w:rsidRPr="000276DB" w:rsidRDefault="00331343" w:rsidP="00842C4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3340EC"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Забезпечить високий рівень відкритості, доступності інформації щодо проведення процедур передачі комунального майна в оренду, виключить корупційні ризики при передачі комунального майна в оренду, забезпечить високий рівень довіри до органів місцевого самоврядування як до суб’єкта господарсько-правових відносин.</w:t>
            </w:r>
          </w:p>
        </w:tc>
      </w:tr>
    </w:tbl>
    <w:p w:rsidR="003340EC" w:rsidRPr="000276DB" w:rsidRDefault="003340EC" w:rsidP="003340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276D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 2. Оцінка вибраних альтернативних способів досягнення цілей</w:t>
      </w:r>
    </w:p>
    <w:p w:rsidR="003340EC" w:rsidRDefault="003340EC" w:rsidP="003340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0276D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Оцінка в</w:t>
      </w:r>
      <w:r w:rsidR="00DC102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пливу на сферу інтересів органу місцевого самоврядування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4394"/>
        <w:gridCol w:w="2410"/>
      </w:tblGrid>
      <w:tr w:rsidR="007050C9" w:rsidRPr="003E43BA" w:rsidTr="00954C95"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50C9" w:rsidRPr="00F77EA8" w:rsidRDefault="007050C9" w:rsidP="008D5DE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EA8">
              <w:rPr>
                <w:rFonts w:ascii="Times New Roman" w:hAnsi="Times New Roman" w:cs="Times New Roman"/>
                <w:color w:val="000000"/>
                <w:lang w:val="uk-UA"/>
              </w:rPr>
              <w:t>Вид альтернативи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50C9" w:rsidRPr="00F77EA8" w:rsidRDefault="007050C9" w:rsidP="008D5DE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EA8">
              <w:rPr>
                <w:rFonts w:ascii="Times New Roman" w:hAnsi="Times New Roman" w:cs="Times New Roman"/>
                <w:color w:val="000000"/>
                <w:lang w:val="uk-UA"/>
              </w:rPr>
              <w:t>Вигоди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50C9" w:rsidRPr="00F77EA8" w:rsidRDefault="007050C9" w:rsidP="008D5DE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EA8">
              <w:rPr>
                <w:rFonts w:ascii="Times New Roman" w:hAnsi="Times New Roman" w:cs="Times New Roman"/>
                <w:color w:val="000000"/>
                <w:lang w:val="uk-UA"/>
              </w:rPr>
              <w:t>Витрати</w:t>
            </w:r>
          </w:p>
        </w:tc>
      </w:tr>
      <w:tr w:rsidR="00F77EA8" w:rsidRPr="003E43BA" w:rsidTr="00954C95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8" w:rsidRPr="000276DB" w:rsidRDefault="00F77EA8" w:rsidP="00057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Альтернатива 1.</w:t>
            </w:r>
          </w:p>
          <w:p w:rsidR="00F77EA8" w:rsidRPr="000276DB" w:rsidRDefault="00F77EA8" w:rsidP="00057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Збере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ження ситуації, яка існує на даний </w:t>
            </w: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час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8" w:rsidRPr="00F77EA8" w:rsidRDefault="00F77EA8" w:rsidP="00BA2A8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EA8">
              <w:rPr>
                <w:rFonts w:ascii="Times New Roman" w:hAnsi="Times New Roman" w:cs="Times New Roman"/>
                <w:lang w:val="uk-UA"/>
              </w:rPr>
              <w:t>відсутні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8" w:rsidRDefault="000570E1" w:rsidP="008D5DEC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Недоотримання коштів </w:t>
            </w:r>
            <w:r w:rsidR="008C1631">
              <w:rPr>
                <w:rFonts w:ascii="Times New Roman" w:hAnsi="Times New Roman" w:cs="Times New Roman"/>
                <w:lang w:val="uk-UA"/>
              </w:rPr>
              <w:t>міського бюджету та орендодавців</w:t>
            </w:r>
            <w:r w:rsidR="00614F3A">
              <w:rPr>
                <w:rFonts w:ascii="Times New Roman" w:hAnsi="Times New Roman" w:cs="Times New Roman"/>
                <w:lang w:val="uk-UA"/>
              </w:rPr>
              <w:t xml:space="preserve"> за рік орієнтовно в сумі </w:t>
            </w:r>
            <w:r w:rsidR="007D0A0F">
              <w:rPr>
                <w:rFonts w:ascii="Times New Roman" w:hAnsi="Times New Roman" w:cs="Times New Roman"/>
                <w:lang w:val="uk-UA"/>
              </w:rPr>
              <w:t>840</w:t>
            </w:r>
            <w:r w:rsidR="00614F3A">
              <w:rPr>
                <w:rFonts w:ascii="Times New Roman" w:hAnsi="Times New Roman" w:cs="Times New Roman"/>
                <w:lang w:val="uk-UA"/>
              </w:rPr>
              <w:t>,0 тис.грн.</w:t>
            </w:r>
          </w:p>
          <w:p w:rsidR="00614F3A" w:rsidRPr="00F77EA8" w:rsidRDefault="00614F3A" w:rsidP="008D5DEC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77EA8" w:rsidRPr="003E43BA" w:rsidTr="00954C95"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8" w:rsidRPr="000276DB" w:rsidRDefault="00F77EA8" w:rsidP="00057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Альтернатива 2.</w:t>
            </w:r>
          </w:p>
          <w:p w:rsidR="00F77EA8" w:rsidRPr="000276DB" w:rsidRDefault="00F77EA8" w:rsidP="00057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Прийняття запропонованого проє</w:t>
            </w: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кту рішення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C95" w:rsidRPr="008C1631" w:rsidRDefault="00217C95" w:rsidP="00217C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6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Приведення нормативного акту</w:t>
            </w:r>
            <w:r w:rsidR="00BC52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C16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місцевого самоврядування у</w:t>
            </w:r>
            <w:r w:rsidR="00626168" w:rsidRPr="008C16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C16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відповідність до чинного</w:t>
            </w:r>
            <w:r w:rsidR="00626168" w:rsidRPr="008C16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C16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законодавства України</w:t>
            </w:r>
            <w:r w:rsidR="00626168" w:rsidRPr="008C16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F77EA8" w:rsidRDefault="00217C95" w:rsidP="0062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6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Підвищення ефективності</w:t>
            </w:r>
            <w:r w:rsidR="00626168" w:rsidRPr="008C16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C16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використання майна</w:t>
            </w:r>
            <w:r w:rsidR="00626168" w:rsidRPr="008C16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C16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комунальної </w:t>
            </w:r>
            <w:r w:rsidR="00626168" w:rsidRPr="008C16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C16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власності</w:t>
            </w:r>
            <w:r w:rsidR="00861C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861C43" w:rsidRDefault="00861C43" w:rsidP="00BC52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1C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Здійснення матеріальної підтримки</w:t>
            </w:r>
            <w:r w:rsidR="00BC52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61C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комунальним підприємствам, закладам, </w:t>
            </w:r>
            <w:r w:rsidRPr="00861C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установам шляхом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61C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спрямування орендної плати за майно, яке перебуває на їх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61C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балансі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614F3A" w:rsidRPr="00F77EA8" w:rsidRDefault="00614F3A" w:rsidP="007D0A0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Отримання </w:t>
            </w:r>
            <w:r>
              <w:rPr>
                <w:rFonts w:ascii="Times New Roman" w:hAnsi="Times New Roman" w:cs="Times New Roman"/>
                <w:lang w:val="uk-UA"/>
              </w:rPr>
              <w:t xml:space="preserve">коштів до міського бюджету та орендодавцями за рік орієнтовно в сумі </w:t>
            </w:r>
            <w:r w:rsidR="007D0A0F">
              <w:rPr>
                <w:rFonts w:ascii="Times New Roman" w:hAnsi="Times New Roman" w:cs="Times New Roman"/>
                <w:lang w:val="uk-UA"/>
              </w:rPr>
              <w:t>840</w:t>
            </w:r>
            <w:r>
              <w:rPr>
                <w:rFonts w:ascii="Times New Roman" w:hAnsi="Times New Roman" w:cs="Times New Roman"/>
                <w:lang w:val="uk-UA"/>
              </w:rPr>
              <w:t>,0 тис.грн.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8" w:rsidRPr="008C1631" w:rsidRDefault="008C1631" w:rsidP="008C1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C16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Витрати часу, матеріальних ресурсів на адміністрування</w:t>
            </w:r>
          </w:p>
        </w:tc>
      </w:tr>
    </w:tbl>
    <w:p w:rsidR="007050C9" w:rsidRPr="002639CB" w:rsidRDefault="007050C9" w:rsidP="007050C9">
      <w:pPr>
        <w:widowControl w:val="0"/>
        <w:tabs>
          <w:tab w:val="left" w:pos="1440"/>
        </w:tabs>
        <w:ind w:right="23"/>
        <w:jc w:val="both"/>
        <w:rPr>
          <w:rFonts w:ascii="Times New Roman" w:hAnsi="Times New Roman" w:cs="Times New Roman"/>
          <w:b/>
          <w:bCs/>
          <w:sz w:val="2"/>
          <w:lang w:val="uk-UA"/>
        </w:rPr>
      </w:pPr>
    </w:p>
    <w:p w:rsidR="007050C9" w:rsidRPr="002639CB" w:rsidRDefault="007050C9" w:rsidP="007050C9">
      <w:pPr>
        <w:widowControl w:val="0"/>
        <w:tabs>
          <w:tab w:val="left" w:pos="1440"/>
        </w:tabs>
        <w:ind w:left="80" w:right="23"/>
        <w:jc w:val="both"/>
        <w:rPr>
          <w:rFonts w:ascii="Times New Roman" w:hAnsi="Times New Roman" w:cs="Times New Roman"/>
          <w:b/>
          <w:bCs/>
          <w:sz w:val="24"/>
          <w:lang w:val="uk-UA"/>
        </w:rPr>
      </w:pPr>
      <w:r w:rsidRPr="002639CB">
        <w:rPr>
          <w:rFonts w:ascii="Times New Roman" w:hAnsi="Times New Roman" w:cs="Times New Roman"/>
          <w:b/>
          <w:bCs/>
          <w:sz w:val="24"/>
          <w:lang w:val="uk-UA"/>
        </w:rPr>
        <w:t>Оцінка впливу на сферу інтересів громадян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4536"/>
        <w:gridCol w:w="1985"/>
      </w:tblGrid>
      <w:tr w:rsidR="002639CB" w:rsidRPr="00F77EA8" w:rsidTr="00F021B7"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39CB" w:rsidRPr="00F77EA8" w:rsidRDefault="002639CB" w:rsidP="008D5DE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EA8">
              <w:rPr>
                <w:rFonts w:ascii="Times New Roman" w:hAnsi="Times New Roman" w:cs="Times New Roman"/>
                <w:color w:val="000000"/>
                <w:lang w:val="uk-UA"/>
              </w:rPr>
              <w:t>Вид альтернативи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9CB" w:rsidRPr="00F77EA8" w:rsidRDefault="002639CB" w:rsidP="008D5DE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EA8">
              <w:rPr>
                <w:rFonts w:ascii="Times New Roman" w:hAnsi="Times New Roman" w:cs="Times New Roman"/>
                <w:color w:val="000000"/>
                <w:lang w:val="uk-UA"/>
              </w:rPr>
              <w:t>Вигоди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9CB" w:rsidRPr="00F77EA8" w:rsidRDefault="002639CB" w:rsidP="008D5DE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EA8">
              <w:rPr>
                <w:rFonts w:ascii="Times New Roman" w:hAnsi="Times New Roman" w:cs="Times New Roman"/>
                <w:color w:val="000000"/>
                <w:lang w:val="uk-UA"/>
              </w:rPr>
              <w:t>Витрати</w:t>
            </w:r>
          </w:p>
        </w:tc>
      </w:tr>
      <w:tr w:rsidR="002639CB" w:rsidRPr="00F77EA8" w:rsidTr="00F021B7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9CB" w:rsidRPr="000276DB" w:rsidRDefault="002639CB" w:rsidP="008D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Альтернатива 1.</w:t>
            </w:r>
          </w:p>
          <w:p w:rsidR="002639CB" w:rsidRPr="000276DB" w:rsidRDefault="002639CB" w:rsidP="008D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Збере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ження ситуації, яка існує на даний </w:t>
            </w: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час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9CB" w:rsidRPr="00F77EA8" w:rsidRDefault="002639CB" w:rsidP="008D5DE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EA8">
              <w:rPr>
                <w:rFonts w:ascii="Times New Roman" w:hAnsi="Times New Roman" w:cs="Times New Roman"/>
                <w:lang w:val="uk-UA"/>
              </w:rPr>
              <w:t>відсутні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9CB" w:rsidRPr="00F77EA8" w:rsidRDefault="00773830" w:rsidP="002639C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Обмежений доступ потенційних орендарів до передачі в оренду комунального майна. Існуючий процес складний та непрозорий. Потенційні орендарі не мають повного переліку вільних приміщень для передачі в оренду</w:t>
            </w:r>
          </w:p>
        </w:tc>
      </w:tr>
      <w:tr w:rsidR="002639CB" w:rsidRPr="008C1631" w:rsidTr="00F021B7"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9CB" w:rsidRPr="000276DB" w:rsidRDefault="002639CB" w:rsidP="008D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Альтернатива 2.</w:t>
            </w:r>
          </w:p>
          <w:p w:rsidR="002639CB" w:rsidRPr="000276DB" w:rsidRDefault="002639CB" w:rsidP="008D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Прийняття запропонованого проє</w:t>
            </w: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кту рішення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9CB" w:rsidRPr="00F77EA8" w:rsidRDefault="00773830" w:rsidP="00E70C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Доступ громадян до комунального майна та можливість прозоро на електронних аукціонах отримувати майно в оренду. Доступ до актуальних даних про вільне нерухоме комунальне майно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9CB" w:rsidRPr="008C1631" w:rsidRDefault="00954C95" w:rsidP="00954C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відсутні</w:t>
            </w:r>
          </w:p>
        </w:tc>
      </w:tr>
    </w:tbl>
    <w:p w:rsidR="00F611DE" w:rsidRDefault="00F611DE" w:rsidP="007050C9">
      <w:pPr>
        <w:widowControl w:val="0"/>
        <w:tabs>
          <w:tab w:val="left" w:pos="1440"/>
        </w:tabs>
        <w:ind w:right="23"/>
        <w:jc w:val="both"/>
        <w:rPr>
          <w:rFonts w:ascii="Times New Roman" w:hAnsi="Times New Roman" w:cs="Times New Roman"/>
          <w:b/>
          <w:bCs/>
          <w:lang w:val="uk-UA"/>
        </w:rPr>
      </w:pPr>
    </w:p>
    <w:p w:rsidR="007050C9" w:rsidRPr="00F611DE" w:rsidRDefault="007050C9" w:rsidP="007050C9">
      <w:pPr>
        <w:widowControl w:val="0"/>
        <w:tabs>
          <w:tab w:val="left" w:pos="1440"/>
        </w:tabs>
        <w:ind w:right="23"/>
        <w:jc w:val="both"/>
        <w:rPr>
          <w:rFonts w:ascii="Times New Roman" w:hAnsi="Times New Roman" w:cs="Times New Roman"/>
          <w:b/>
          <w:bCs/>
          <w:lang w:val="uk-UA"/>
        </w:rPr>
      </w:pPr>
      <w:r w:rsidRPr="00F611DE">
        <w:rPr>
          <w:rFonts w:ascii="Times New Roman" w:hAnsi="Times New Roman" w:cs="Times New Roman"/>
          <w:b/>
          <w:bCs/>
          <w:lang w:val="uk-UA"/>
        </w:rPr>
        <w:t>Оцінка впливу на сферу інтересів суб'єктів господарювання</w:t>
      </w:r>
    </w:p>
    <w:tbl>
      <w:tblPr>
        <w:tblW w:w="5074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4"/>
        <w:gridCol w:w="1101"/>
        <w:gridCol w:w="1102"/>
        <w:gridCol w:w="1099"/>
        <w:gridCol w:w="964"/>
        <w:gridCol w:w="1104"/>
      </w:tblGrid>
      <w:tr w:rsidR="007050C9" w:rsidRPr="00B64626" w:rsidTr="008D5DEC"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C9" w:rsidRPr="00B64626" w:rsidRDefault="007050C9" w:rsidP="008D5DEC">
            <w:pPr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B64626">
              <w:rPr>
                <w:rFonts w:ascii="Times New Roman" w:hAnsi="Times New Roman" w:cs="Times New Roman"/>
                <w:lang w:val="uk-UA"/>
              </w:rPr>
              <w:t>Показник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C9" w:rsidRPr="00B64626" w:rsidRDefault="007050C9" w:rsidP="008D5DEC">
            <w:pPr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B64626">
              <w:rPr>
                <w:rFonts w:ascii="Times New Roman" w:hAnsi="Times New Roman" w:cs="Times New Roman"/>
                <w:lang w:val="uk-UA"/>
              </w:rPr>
              <w:t>Великі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C9" w:rsidRPr="00B64626" w:rsidRDefault="007050C9" w:rsidP="008D5DEC">
            <w:pPr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B64626">
              <w:rPr>
                <w:rFonts w:ascii="Times New Roman" w:hAnsi="Times New Roman" w:cs="Times New Roman"/>
                <w:lang w:val="uk-UA"/>
              </w:rPr>
              <w:t>Середні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C9" w:rsidRPr="00B64626" w:rsidRDefault="007050C9" w:rsidP="008D5DEC">
            <w:pPr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B64626">
              <w:rPr>
                <w:rFonts w:ascii="Times New Roman" w:hAnsi="Times New Roman" w:cs="Times New Roman"/>
                <w:lang w:val="uk-UA"/>
              </w:rPr>
              <w:t>Малі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C9" w:rsidRPr="00B64626" w:rsidRDefault="007050C9" w:rsidP="008D5DEC">
            <w:pPr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64626">
              <w:rPr>
                <w:rFonts w:ascii="Times New Roman" w:hAnsi="Times New Roman" w:cs="Times New Roman"/>
                <w:lang w:val="uk-UA"/>
              </w:rPr>
              <w:t>Мікро</w:t>
            </w:r>
            <w:proofErr w:type="spellEnd"/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C9" w:rsidRPr="00B64626" w:rsidRDefault="007050C9" w:rsidP="008D5DEC">
            <w:pPr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B64626"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</w:tr>
      <w:tr w:rsidR="007050C9" w:rsidRPr="00B64626" w:rsidTr="008D5DEC"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C9" w:rsidRPr="00B64626" w:rsidRDefault="007050C9" w:rsidP="008D5DEC">
            <w:pPr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B64626">
              <w:rPr>
                <w:rFonts w:ascii="Times New Roman" w:hAnsi="Times New Roman" w:cs="Times New Roman"/>
                <w:lang w:val="uk-UA"/>
              </w:rPr>
              <w:t>Кількість суб’єктів господарювання, що підпадають під дію регулювання, одиниць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C9" w:rsidRPr="00B64626" w:rsidRDefault="00CD3D92" w:rsidP="008D5DEC">
            <w:pPr>
              <w:pStyle w:val="a6"/>
              <w:spacing w:after="0" w:line="240" w:lineRule="auto"/>
              <w:ind w:left="0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C9" w:rsidRPr="00B64626" w:rsidRDefault="00FF78B7" w:rsidP="008D5DEC">
            <w:pPr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C9" w:rsidRPr="00B64626" w:rsidRDefault="00CD3D92" w:rsidP="008D5DEC">
            <w:pPr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C9" w:rsidRPr="00B64626" w:rsidRDefault="00FF78B7" w:rsidP="008D5DEC">
            <w:pPr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C9" w:rsidRPr="00B64626" w:rsidRDefault="00FF78B7" w:rsidP="008D5DEC">
            <w:pPr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41</w:t>
            </w:r>
          </w:p>
        </w:tc>
      </w:tr>
      <w:tr w:rsidR="007050C9" w:rsidRPr="00B64626" w:rsidTr="008D5DEC">
        <w:trPr>
          <w:trHeight w:val="568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C9" w:rsidRPr="00B64626" w:rsidRDefault="007050C9" w:rsidP="008D5DEC">
            <w:pPr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B64626">
              <w:rPr>
                <w:rFonts w:ascii="Times New Roman" w:hAnsi="Times New Roman" w:cs="Times New Roman"/>
                <w:lang w:val="uk-UA"/>
              </w:rPr>
              <w:t>Питома вага групи у загальній кількості, відсотків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C9" w:rsidRPr="00B64626" w:rsidRDefault="00CD3D92" w:rsidP="008D5DEC">
            <w:pPr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C9" w:rsidRPr="00B64626" w:rsidRDefault="00FF78B7" w:rsidP="008D5DEC">
            <w:pPr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C9" w:rsidRPr="00B64626" w:rsidRDefault="00CD3D92" w:rsidP="00FF78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24,4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C9" w:rsidRPr="00B64626" w:rsidRDefault="00FF78B7" w:rsidP="008D5DE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75,6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C9" w:rsidRPr="00B64626" w:rsidRDefault="00FF78B7" w:rsidP="008D5DEC">
            <w:pPr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100,0</w:t>
            </w:r>
          </w:p>
        </w:tc>
      </w:tr>
    </w:tbl>
    <w:p w:rsidR="007050C9" w:rsidRDefault="007050C9" w:rsidP="007050C9">
      <w:pPr>
        <w:shd w:val="clear" w:color="auto" w:fill="FFFFFF"/>
        <w:textAlignment w:val="baseline"/>
        <w:rPr>
          <w:sz w:val="14"/>
          <w:bdr w:val="none" w:sz="0" w:space="0" w:color="auto" w:frame="1"/>
          <w:lang w:val="uk-UA"/>
        </w:rPr>
      </w:pPr>
    </w:p>
    <w:tbl>
      <w:tblPr>
        <w:tblW w:w="9498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3827"/>
        <w:gridCol w:w="3119"/>
      </w:tblGrid>
      <w:tr w:rsidR="00AC0881" w:rsidRPr="00F77EA8" w:rsidTr="00DC38A1"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0881" w:rsidRPr="00F77EA8" w:rsidRDefault="00AC0881" w:rsidP="008D5DE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EA8">
              <w:rPr>
                <w:rFonts w:ascii="Times New Roman" w:hAnsi="Times New Roman" w:cs="Times New Roman"/>
                <w:color w:val="000000"/>
                <w:lang w:val="uk-UA"/>
              </w:rPr>
              <w:t>Вид альтернативи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881" w:rsidRPr="00F77EA8" w:rsidRDefault="00AC0881" w:rsidP="008D5DE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EA8">
              <w:rPr>
                <w:rFonts w:ascii="Times New Roman" w:hAnsi="Times New Roman" w:cs="Times New Roman"/>
                <w:color w:val="000000"/>
                <w:lang w:val="uk-UA"/>
              </w:rPr>
              <w:t>Вигоди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881" w:rsidRPr="00F77EA8" w:rsidRDefault="00AC0881" w:rsidP="008D5DE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EA8">
              <w:rPr>
                <w:rFonts w:ascii="Times New Roman" w:hAnsi="Times New Roman" w:cs="Times New Roman"/>
                <w:color w:val="000000"/>
                <w:lang w:val="uk-UA"/>
              </w:rPr>
              <w:t>Витрати</w:t>
            </w:r>
          </w:p>
        </w:tc>
      </w:tr>
      <w:tr w:rsidR="00AC0881" w:rsidRPr="00F77EA8" w:rsidTr="00DC38A1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881" w:rsidRPr="000276DB" w:rsidRDefault="00AC0881" w:rsidP="008D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Альтернатива 1.</w:t>
            </w:r>
          </w:p>
          <w:p w:rsidR="00AC0881" w:rsidRPr="000276DB" w:rsidRDefault="00AC0881" w:rsidP="008D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Збере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ження ситуації, яка існує на даний </w:t>
            </w: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час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881" w:rsidRPr="00F77EA8" w:rsidRDefault="00AC0881" w:rsidP="008D5DE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7EA8">
              <w:rPr>
                <w:rFonts w:ascii="Times New Roman" w:hAnsi="Times New Roman" w:cs="Times New Roman"/>
                <w:lang w:val="uk-UA"/>
              </w:rPr>
              <w:t>відсутні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881" w:rsidRPr="00F77EA8" w:rsidRDefault="002E4BFE" w:rsidP="008D5DE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Обмежений доступ потенційних орендарів до передачі в оренду комунального майна. Існуючий процес складний та непрозорий. Потенційні 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>орендарі не мають повного переліку вільних приміщень для передачі в оренду</w:t>
            </w:r>
          </w:p>
        </w:tc>
      </w:tr>
      <w:tr w:rsidR="00AC0881" w:rsidRPr="008C1631" w:rsidTr="00DC38A1"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881" w:rsidRPr="000276DB" w:rsidRDefault="00AC0881" w:rsidP="008D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Альтернатива 2.</w:t>
            </w:r>
          </w:p>
          <w:p w:rsidR="00AC0881" w:rsidRPr="000276DB" w:rsidRDefault="00AC0881" w:rsidP="008D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Прийняття запропонованого проє</w:t>
            </w: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кту рішення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881" w:rsidRPr="00F77EA8" w:rsidRDefault="002E4BFE" w:rsidP="002E4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Доступ суб’єктів господарювання до комунального майна та можливість прозоро на електронних аукціонах отримувати майно в оренду. Доступ до актуальних даних про вільне нерухоме комунальне майно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881" w:rsidRPr="00E4272C" w:rsidRDefault="00AC4AEB" w:rsidP="008D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Реєстраційний внесок, який вноситься потенційним орендарем на відповідний рахунок оператора електронного майданчика за реєстрацію заяви на участь в </w:t>
            </w:r>
            <w:r w:rsidRPr="00E4272C">
              <w:rPr>
                <w:rFonts w:ascii="Times New Roman" w:hAnsi="Times New Roman" w:cs="Times New Roman"/>
                <w:lang w:val="uk-UA"/>
              </w:rPr>
              <w:t>аукціоні</w:t>
            </w:r>
            <w:r w:rsidR="00B702CB" w:rsidRPr="00E4272C">
              <w:rPr>
                <w:rFonts w:ascii="Times New Roman" w:hAnsi="Times New Roman" w:cs="Times New Roman"/>
                <w:lang w:val="uk-UA"/>
              </w:rPr>
              <w:t xml:space="preserve"> та винагорода оператору</w:t>
            </w:r>
            <w:r w:rsidR="002D652E" w:rsidRPr="00E4272C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B911D3" w:rsidRDefault="00E4272C" w:rsidP="008D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4272C">
              <w:rPr>
                <w:rFonts w:ascii="Times New Roman" w:hAnsi="Times New Roman" w:cs="Times New Roman"/>
                <w:lang w:val="uk-UA"/>
              </w:rPr>
              <w:t>72898,00</w:t>
            </w:r>
            <w:r w:rsidR="00D42148" w:rsidRPr="00E4272C"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  <w:p w:rsidR="00930F4D" w:rsidRPr="00930F4D" w:rsidRDefault="00930F4D" w:rsidP="008D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  <w:t xml:space="preserve">Витрати часу на </w:t>
            </w:r>
            <w:r w:rsidRPr="00930F4D"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  <w:t>присутність орендаря при комплексному контролі за виконанням умов договору</w:t>
            </w:r>
            <w:r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  <w:t xml:space="preserve"> </w:t>
            </w:r>
            <w:r w:rsidR="00FC420D"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  <w:t>62,50</w:t>
            </w:r>
            <w:r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  <w:t xml:space="preserve"> грн.</w:t>
            </w:r>
          </w:p>
          <w:p w:rsidR="008D5DEC" w:rsidRPr="008C1631" w:rsidRDefault="00783EF2" w:rsidP="007D0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Сплата орендної плати орендарями за рік орієнтовно в сумі </w:t>
            </w:r>
            <w:r w:rsidR="007D0A0F">
              <w:rPr>
                <w:rFonts w:ascii="Times New Roman" w:hAnsi="Times New Roman" w:cs="Times New Roman"/>
                <w:lang w:val="uk-UA"/>
              </w:rPr>
              <w:t>840</w:t>
            </w:r>
            <w:r>
              <w:rPr>
                <w:rFonts w:ascii="Times New Roman" w:hAnsi="Times New Roman" w:cs="Times New Roman"/>
                <w:lang w:val="uk-UA"/>
              </w:rPr>
              <w:t>,0 тис.грн.</w:t>
            </w:r>
          </w:p>
        </w:tc>
      </w:tr>
    </w:tbl>
    <w:p w:rsidR="00AC0881" w:rsidRPr="00BA0C94" w:rsidRDefault="00AC0881" w:rsidP="007050C9">
      <w:pPr>
        <w:shd w:val="clear" w:color="auto" w:fill="FFFFFF"/>
        <w:textAlignment w:val="baseline"/>
        <w:rPr>
          <w:sz w:val="2"/>
          <w:bdr w:val="none" w:sz="0" w:space="0" w:color="auto" w:frame="1"/>
          <w:lang w:val="uk-UA"/>
        </w:rPr>
      </w:pPr>
    </w:p>
    <w:p w:rsidR="00D14EF3" w:rsidRPr="00D14EF3" w:rsidRDefault="00D14EF3" w:rsidP="00D14E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  <w:r w:rsidRPr="00D14EF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ВИТРАТИ</w:t>
      </w:r>
    </w:p>
    <w:p w:rsidR="00D14EF3" w:rsidRPr="00D14EF3" w:rsidRDefault="00D14EF3" w:rsidP="00D14E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D14EF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суб’єктів господарювання великого і середнього підприємництва.</w:t>
      </w:r>
    </w:p>
    <w:p w:rsidR="00D14EF3" w:rsidRPr="00D14EF3" w:rsidRDefault="00D14EF3" w:rsidP="00D14E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14EF3" w:rsidRDefault="00D14EF3" w:rsidP="00D14EF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D14EF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Витрати суб’єктів господарювання великого і середнього підприємництва, які виникають внаслідок ді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ї регуляторного акта, відсутні, так як </w:t>
      </w:r>
      <w:r w:rsidRPr="00D14EF3">
        <w:rPr>
          <w:rFonts w:ascii="Times New Roman" w:eastAsia="Batang" w:hAnsi="Times New Roman" w:cs="Times New Roman"/>
          <w:bCs/>
          <w:sz w:val="24"/>
          <w:szCs w:val="24"/>
          <w:lang w:val="uk-UA"/>
        </w:rPr>
        <w:t>суб’єкти господарювання великого і середнього підприємництва</w:t>
      </w:r>
      <w:r>
        <w:rPr>
          <w:rFonts w:ascii="Times New Roman" w:eastAsia="Batang" w:hAnsi="Times New Roman" w:cs="Times New Roman"/>
          <w:bCs/>
          <w:sz w:val="24"/>
          <w:szCs w:val="24"/>
          <w:lang w:val="uk-UA"/>
        </w:rPr>
        <w:t>, які є орендарями.</w:t>
      </w:r>
      <w:r w:rsidRPr="000276D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</w:p>
    <w:p w:rsidR="00D14EF3" w:rsidRDefault="00D14EF3" w:rsidP="00D14EF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3340EC" w:rsidRDefault="003340EC" w:rsidP="00FE1E64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0276D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ІV. Вибір найбільш оптимального альтернат</w:t>
      </w:r>
      <w:r w:rsidR="00FE1E6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ивного способу досягнення цілей</w:t>
      </w:r>
    </w:p>
    <w:p w:rsidR="00FE1E64" w:rsidRPr="000276DB" w:rsidRDefault="00FE1E64" w:rsidP="00D14EF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60169" w:rsidRPr="00CE1F45" w:rsidRDefault="00CE1F45" w:rsidP="00CE1F45">
      <w:pPr>
        <w:pStyle w:val="21"/>
        <w:shd w:val="clear" w:color="auto" w:fill="auto"/>
        <w:ind w:right="-81" w:firstLine="740"/>
        <w:rPr>
          <w:rFonts w:ascii="Times New Roman" w:hAnsi="Times New Roman" w:cs="Times New Roman"/>
          <w:sz w:val="24"/>
          <w:lang w:val="uk-UA"/>
        </w:rPr>
      </w:pPr>
      <w:r w:rsidRPr="00CE1F45">
        <w:rPr>
          <w:rFonts w:ascii="Times New Roman" w:hAnsi="Times New Roman" w:cs="Times New Roman"/>
          <w:sz w:val="24"/>
          <w:lang w:val="uk-UA"/>
        </w:rPr>
        <w:t>Оцінка ступеня досягнення визначених цілей визначається за чотирибальною системою</w:t>
      </w:r>
      <w:r w:rsidR="003340EC" w:rsidRPr="00CE1F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760169" w:rsidRPr="00CE1F45">
        <w:rPr>
          <w:rFonts w:ascii="Times New Roman" w:hAnsi="Times New Roman" w:cs="Times New Roman"/>
          <w:sz w:val="24"/>
          <w:lang w:val="uk-UA"/>
        </w:rPr>
        <w:t xml:space="preserve"> де:</w:t>
      </w:r>
    </w:p>
    <w:p w:rsidR="00760169" w:rsidRPr="00760169" w:rsidRDefault="00760169" w:rsidP="00760169">
      <w:pPr>
        <w:pStyle w:val="21"/>
        <w:shd w:val="clear" w:color="auto" w:fill="auto"/>
        <w:ind w:right="-81" w:firstLine="740"/>
        <w:rPr>
          <w:rFonts w:ascii="Times New Roman" w:hAnsi="Times New Roman" w:cs="Times New Roman"/>
          <w:sz w:val="24"/>
          <w:lang w:val="uk-UA"/>
        </w:rPr>
      </w:pPr>
      <w:r w:rsidRPr="00760169">
        <w:rPr>
          <w:rFonts w:ascii="Times New Roman" w:hAnsi="Times New Roman" w:cs="Times New Roman"/>
          <w:sz w:val="24"/>
          <w:lang w:val="uk-UA"/>
        </w:rPr>
        <w:t>4 - цілі прийняття регуляторного акта можуть бути досягнуті повною мірою (проблеми більше не буде);</w:t>
      </w:r>
    </w:p>
    <w:p w:rsidR="00760169" w:rsidRPr="00760169" w:rsidRDefault="00760169" w:rsidP="00760169">
      <w:pPr>
        <w:pStyle w:val="21"/>
        <w:shd w:val="clear" w:color="auto" w:fill="auto"/>
        <w:tabs>
          <w:tab w:val="left" w:pos="1148"/>
        </w:tabs>
        <w:ind w:right="-81" w:firstLine="740"/>
        <w:rPr>
          <w:rFonts w:ascii="Times New Roman" w:hAnsi="Times New Roman" w:cs="Times New Roman"/>
          <w:sz w:val="24"/>
          <w:lang w:val="uk-UA"/>
        </w:rPr>
      </w:pPr>
      <w:r w:rsidRPr="00760169">
        <w:rPr>
          <w:rFonts w:ascii="Times New Roman" w:hAnsi="Times New Roman" w:cs="Times New Roman"/>
          <w:sz w:val="24"/>
          <w:lang w:val="uk-UA"/>
        </w:rPr>
        <w:t>3</w:t>
      </w:r>
      <w:r w:rsidRPr="00760169">
        <w:rPr>
          <w:rFonts w:ascii="Times New Roman" w:hAnsi="Times New Roman" w:cs="Times New Roman"/>
          <w:sz w:val="24"/>
          <w:lang w:val="uk-UA"/>
        </w:rPr>
        <w:tab/>
        <w:t>- цілі прийняття регуляторного акта можуть бути досягнуті майже повною мірою (усі важливі аспекти проблеми будуть усунуті);</w:t>
      </w:r>
    </w:p>
    <w:p w:rsidR="00760169" w:rsidRPr="00760169" w:rsidRDefault="00760169" w:rsidP="00760169">
      <w:pPr>
        <w:pStyle w:val="21"/>
        <w:shd w:val="clear" w:color="auto" w:fill="auto"/>
        <w:ind w:right="-81" w:firstLine="740"/>
        <w:rPr>
          <w:rFonts w:ascii="Times New Roman" w:hAnsi="Times New Roman" w:cs="Times New Roman"/>
          <w:sz w:val="24"/>
          <w:lang w:val="uk-UA"/>
        </w:rPr>
      </w:pPr>
      <w:r w:rsidRPr="00760169">
        <w:rPr>
          <w:rFonts w:ascii="Times New Roman" w:hAnsi="Times New Roman" w:cs="Times New Roman"/>
          <w:sz w:val="24"/>
          <w:lang w:val="uk-UA"/>
        </w:rPr>
        <w:t>2 - цілі прийняття регуляторного акта можуть бути досягнуті частково (проблема значно зменшиться, деякі важливі та критичні її аспекти залишаться невирішеними);</w:t>
      </w:r>
    </w:p>
    <w:p w:rsidR="00760169" w:rsidRDefault="00760169" w:rsidP="00760169">
      <w:pPr>
        <w:pStyle w:val="21"/>
        <w:shd w:val="clear" w:color="auto" w:fill="auto"/>
        <w:ind w:right="-81" w:firstLine="740"/>
        <w:rPr>
          <w:rFonts w:ascii="Times New Roman" w:hAnsi="Times New Roman" w:cs="Times New Roman"/>
          <w:sz w:val="24"/>
          <w:lang w:val="uk-UA"/>
        </w:rPr>
      </w:pPr>
      <w:r w:rsidRPr="00760169">
        <w:rPr>
          <w:rFonts w:ascii="Times New Roman" w:hAnsi="Times New Roman" w:cs="Times New Roman"/>
          <w:sz w:val="24"/>
          <w:lang w:val="uk-UA"/>
        </w:rPr>
        <w:t>1 - цілі прийняття регуляторного акта не можуть бути досягнуті (проблема залишається).</w:t>
      </w:r>
    </w:p>
    <w:tbl>
      <w:tblPr>
        <w:tblW w:w="9639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9"/>
        <w:gridCol w:w="2615"/>
        <w:gridCol w:w="3155"/>
      </w:tblGrid>
      <w:tr w:rsidR="00B312FD" w:rsidRPr="00083F96" w:rsidTr="008D5DEC">
        <w:tc>
          <w:tcPr>
            <w:tcW w:w="3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12FD" w:rsidRPr="00B312FD" w:rsidRDefault="00B312FD" w:rsidP="008D5DE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312FD">
              <w:rPr>
                <w:rFonts w:ascii="Times New Roman" w:hAnsi="Times New Roman" w:cs="Times New Roman"/>
                <w:color w:val="000000"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6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12FD" w:rsidRPr="00B312FD" w:rsidRDefault="00B312FD" w:rsidP="008D5DE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312FD">
              <w:rPr>
                <w:rFonts w:ascii="Times New Roman" w:hAnsi="Times New Roman" w:cs="Times New Roman"/>
                <w:color w:val="000000"/>
                <w:lang w:val="uk-UA"/>
              </w:rPr>
              <w:t>Бал результативності (за чотирибальною системою оцінки)</w:t>
            </w:r>
          </w:p>
        </w:tc>
        <w:tc>
          <w:tcPr>
            <w:tcW w:w="3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12FD" w:rsidRPr="00B312FD" w:rsidRDefault="00B312FD" w:rsidP="008D5DE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312FD">
              <w:rPr>
                <w:rFonts w:ascii="Times New Roman" w:hAnsi="Times New Roman" w:cs="Times New Roman"/>
                <w:color w:val="000000"/>
                <w:lang w:val="uk-UA"/>
              </w:rPr>
              <w:t>Коментарі щодо присвоєння відповідного бала</w:t>
            </w:r>
          </w:p>
        </w:tc>
      </w:tr>
      <w:tr w:rsidR="00B312FD" w:rsidRPr="00083F96" w:rsidTr="008D5DEC">
        <w:tc>
          <w:tcPr>
            <w:tcW w:w="3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2FD" w:rsidRPr="000276DB" w:rsidRDefault="00B312FD" w:rsidP="008D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Альтернатива 1.</w:t>
            </w:r>
          </w:p>
          <w:p w:rsidR="00B312FD" w:rsidRPr="000276DB" w:rsidRDefault="00B312FD" w:rsidP="008D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Збере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ження ситуації, яка існує на даний </w:t>
            </w: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час</w:t>
            </w:r>
          </w:p>
        </w:tc>
        <w:tc>
          <w:tcPr>
            <w:tcW w:w="26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12FD" w:rsidRPr="00B312FD" w:rsidRDefault="00B312FD" w:rsidP="008D5DEC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3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12FD" w:rsidRPr="00B312FD" w:rsidRDefault="00F76C98" w:rsidP="00B312FD">
            <w:pPr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 недоцільною</w:t>
            </w:r>
            <w:r w:rsidR="00B312FD"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оскільки не дозволить досягти цілей </w:t>
            </w:r>
            <w:r w:rsidR="00A02D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державного регулювання, створює умови для порушення вимог Закону.</w:t>
            </w:r>
          </w:p>
        </w:tc>
      </w:tr>
      <w:tr w:rsidR="00B312FD" w:rsidRPr="00083F96" w:rsidTr="008D5DEC">
        <w:tc>
          <w:tcPr>
            <w:tcW w:w="3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2FD" w:rsidRPr="000276DB" w:rsidRDefault="00B312FD" w:rsidP="008D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Альтернатива 2.</w:t>
            </w:r>
          </w:p>
          <w:p w:rsidR="00B312FD" w:rsidRPr="000276DB" w:rsidRDefault="00B312FD" w:rsidP="008D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Прийняття запропонованого проє</w:t>
            </w: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кту рішення</w:t>
            </w:r>
          </w:p>
        </w:tc>
        <w:tc>
          <w:tcPr>
            <w:tcW w:w="26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12FD" w:rsidRPr="00B312FD" w:rsidRDefault="00B312FD" w:rsidP="008D5DEC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4</w:t>
            </w:r>
          </w:p>
        </w:tc>
        <w:tc>
          <w:tcPr>
            <w:tcW w:w="3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12FD" w:rsidRPr="00B312FD" w:rsidRDefault="00B312FD" w:rsidP="00B312F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Цілі прийняття регуляторного акта можуть бути реалізовані повною </w:t>
            </w: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мірою.</w:t>
            </w:r>
          </w:p>
        </w:tc>
      </w:tr>
    </w:tbl>
    <w:p w:rsidR="00B312FD" w:rsidRDefault="00B312FD" w:rsidP="00760169">
      <w:pPr>
        <w:pStyle w:val="21"/>
        <w:shd w:val="clear" w:color="auto" w:fill="auto"/>
        <w:ind w:right="-81" w:firstLine="740"/>
        <w:rPr>
          <w:rFonts w:ascii="Times New Roman" w:hAnsi="Times New Roman" w:cs="Times New Roman"/>
          <w:sz w:val="24"/>
          <w:lang w:val="uk-UA"/>
        </w:rPr>
      </w:pPr>
    </w:p>
    <w:tbl>
      <w:tblPr>
        <w:tblW w:w="9639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6"/>
        <w:gridCol w:w="2688"/>
        <w:gridCol w:w="1719"/>
        <w:gridCol w:w="2966"/>
      </w:tblGrid>
      <w:tr w:rsidR="00FD3562" w:rsidRPr="00083F96" w:rsidTr="00834C21"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12FD" w:rsidRPr="00B312FD" w:rsidRDefault="00B312FD" w:rsidP="008D5DE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312FD">
              <w:rPr>
                <w:rFonts w:ascii="Times New Roman" w:hAnsi="Times New Roman" w:cs="Times New Roman"/>
                <w:color w:val="000000"/>
                <w:lang w:val="uk-UA"/>
              </w:rPr>
              <w:t>Рейтинг результативності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12FD" w:rsidRPr="00B312FD" w:rsidRDefault="00B312FD" w:rsidP="008D5DE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312FD">
              <w:rPr>
                <w:rFonts w:ascii="Times New Roman" w:hAnsi="Times New Roman" w:cs="Times New Roman"/>
                <w:color w:val="000000"/>
                <w:lang w:val="uk-UA"/>
              </w:rPr>
              <w:t>Вигоди (підсумок)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12FD" w:rsidRPr="00B312FD" w:rsidRDefault="00B312FD" w:rsidP="008D5DE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312FD">
              <w:rPr>
                <w:rFonts w:ascii="Times New Roman" w:hAnsi="Times New Roman" w:cs="Times New Roman"/>
                <w:color w:val="000000"/>
                <w:lang w:val="uk-UA"/>
              </w:rPr>
              <w:t>Витрати (підсумок)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12FD" w:rsidRPr="00B312FD" w:rsidRDefault="00B312FD" w:rsidP="008D5DE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312FD">
              <w:rPr>
                <w:rFonts w:ascii="Times New Roman" w:hAnsi="Times New Roman" w:cs="Times New Roman"/>
                <w:color w:val="000000"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917FB3" w:rsidRPr="00083F96" w:rsidTr="00834C21"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2FD" w:rsidRPr="000276DB" w:rsidRDefault="00B312FD" w:rsidP="008D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Альтернатива 1.</w:t>
            </w:r>
          </w:p>
          <w:p w:rsidR="00B312FD" w:rsidRPr="000276DB" w:rsidRDefault="00B312FD" w:rsidP="008D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Збере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ження ситуації, яка існує на даний </w:t>
            </w: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час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2FD" w:rsidRPr="00B312FD" w:rsidRDefault="002F34DA" w:rsidP="002F34DA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відсутні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2FD" w:rsidRPr="00B312FD" w:rsidRDefault="000B4AA5" w:rsidP="00374495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Ненадходження коштів до міського бюджету від передачі в оренду комунального нерухомого майна</w:t>
            </w:r>
            <w:r w:rsidR="007D1343">
              <w:rPr>
                <w:rFonts w:ascii="Times New Roman" w:hAnsi="Times New Roman" w:cs="Times New Roman"/>
                <w:color w:val="000000"/>
                <w:lang w:val="uk-UA"/>
              </w:rPr>
              <w:t xml:space="preserve"> за </w:t>
            </w:r>
            <w:r w:rsidR="007D1343">
              <w:rPr>
                <w:rFonts w:ascii="Times New Roman" w:hAnsi="Times New Roman" w:cs="Times New Roman"/>
                <w:lang w:val="uk-UA"/>
              </w:rPr>
              <w:t xml:space="preserve">рік орієнтовно в сумі </w:t>
            </w:r>
            <w:r w:rsidR="00374495">
              <w:rPr>
                <w:rFonts w:ascii="Times New Roman" w:hAnsi="Times New Roman" w:cs="Times New Roman"/>
                <w:lang w:val="uk-UA"/>
              </w:rPr>
              <w:t>840</w:t>
            </w:r>
            <w:r w:rsidR="007D1343">
              <w:rPr>
                <w:rFonts w:ascii="Times New Roman" w:hAnsi="Times New Roman" w:cs="Times New Roman"/>
                <w:lang w:val="uk-UA"/>
              </w:rPr>
              <w:t>,0 тис.грн.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3562" w:rsidRDefault="00FD3562" w:rsidP="00FD35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Не дозволить досягти цілей державного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регулювання.  </w:t>
            </w:r>
          </w:p>
          <w:p w:rsidR="00B312FD" w:rsidRPr="00B312FD" w:rsidRDefault="00FD3562" w:rsidP="00BA1E2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Ч</w:t>
            </w: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инні нормативні правові акти</w:t>
            </w:r>
            <w:r w:rsidR="00BA1E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які діють на території </w:t>
            </w: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BA1E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міста Знам’янки</w:t>
            </w: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 питань оренди не відповідають зміненому законодавству з питань оренди комунального майна, не передбачають механізму передачі майна в оренду способом проведення електронного аукціону з надання майна в оренду через електронну торгову систему.</w:t>
            </w:r>
          </w:p>
        </w:tc>
      </w:tr>
      <w:tr w:rsidR="00403B1F" w:rsidRPr="00083F96" w:rsidTr="00834C21"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2FD" w:rsidRPr="000276DB" w:rsidRDefault="00B312FD" w:rsidP="008D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Альтернатива 2.</w:t>
            </w:r>
          </w:p>
          <w:p w:rsidR="00B312FD" w:rsidRPr="000276DB" w:rsidRDefault="00B312FD" w:rsidP="008D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Прийняття запропонованого проє</w:t>
            </w: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кту рішення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12FD" w:rsidRPr="00B312FD" w:rsidRDefault="00146D17" w:rsidP="00834C2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Забезпечить високий рівень відкритості, доступності </w:t>
            </w:r>
            <w:r w:rsidR="00996A7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нформації щодо проведення процедур передачі комунального майна в оренду, виключить корупційні ризики при передачі комунального майна в оренду, забезпечить високий рівень довіри до органів місцевого самоврядування, як до суб’єкта </w:t>
            </w:r>
            <w:r w:rsidR="00834C2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</w:t>
            </w: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осподарсько-правових відносин</w:t>
            </w:r>
            <w:r w:rsidR="00D754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Надходження коштів від передачі в оренду комунального майна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2FD" w:rsidRPr="00B312FD" w:rsidRDefault="00AC3CB8" w:rsidP="00AC3CB8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відсутні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7FB3" w:rsidRPr="000276DB" w:rsidRDefault="00917FB3" w:rsidP="00917FB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Цілі прийняття регуляторного акта можуть бути реалізовані повною мірою.</w:t>
            </w:r>
          </w:p>
          <w:p w:rsidR="00B312FD" w:rsidRPr="00B312FD" w:rsidRDefault="00B312FD" w:rsidP="00917FB3">
            <w:pPr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</w:tbl>
    <w:p w:rsidR="00496353" w:rsidRDefault="00496353" w:rsidP="00496353">
      <w:pPr>
        <w:spacing w:after="0" w:line="240" w:lineRule="auto"/>
        <w:rPr>
          <w:rFonts w:ascii="TimesNewRomanPSMT" w:hAnsi="TimesNewRomanPSMT" w:cs="TimesNewRomanPSMT"/>
          <w:sz w:val="8"/>
          <w:szCs w:val="24"/>
          <w:lang w:val="uk-UA"/>
        </w:rPr>
      </w:pPr>
      <w:r>
        <w:rPr>
          <w:rFonts w:ascii="TimesNewRomanPSMT" w:hAnsi="TimesNewRomanPSMT" w:cs="TimesNewRomanPSMT"/>
          <w:sz w:val="24"/>
          <w:szCs w:val="24"/>
        </w:rPr>
        <w:t xml:space="preserve"> </w:t>
      </w:r>
    </w:p>
    <w:p w:rsidR="00496353" w:rsidRPr="00496353" w:rsidRDefault="00496353" w:rsidP="00496353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val="uk-UA" w:eastAsia="ru-RU"/>
        </w:rPr>
      </w:pPr>
    </w:p>
    <w:tbl>
      <w:tblPr>
        <w:tblW w:w="9639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3537"/>
        <w:gridCol w:w="3402"/>
      </w:tblGrid>
      <w:tr w:rsidR="00496353" w:rsidRPr="00083F96" w:rsidTr="008D5DEC"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53" w:rsidRPr="00496353" w:rsidRDefault="00496353" w:rsidP="008D5DE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96353">
              <w:rPr>
                <w:rFonts w:ascii="Times New Roman" w:hAnsi="Times New Roman" w:cs="Times New Roman"/>
                <w:b/>
                <w:color w:val="000000"/>
                <w:lang w:val="uk-UA"/>
              </w:rPr>
              <w:t>Рейтинг</w:t>
            </w:r>
          </w:p>
        </w:tc>
        <w:tc>
          <w:tcPr>
            <w:tcW w:w="3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353" w:rsidRPr="00496353" w:rsidRDefault="00496353" w:rsidP="008D5DE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96353">
              <w:rPr>
                <w:rFonts w:ascii="Times New Roman" w:hAnsi="Times New Roman" w:cs="Times New Roman"/>
                <w:b/>
                <w:color w:val="000000"/>
                <w:lang w:val="uk-UA"/>
              </w:rPr>
              <w:t>Аргументи щодо переваги обраної альтернативи/причини відмови від альтернативи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6353" w:rsidRPr="00496353" w:rsidRDefault="00496353" w:rsidP="008D5DE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96353">
              <w:rPr>
                <w:rFonts w:ascii="Times New Roman" w:hAnsi="Times New Roman" w:cs="Times New Roman"/>
                <w:b/>
                <w:color w:val="000000"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332E93" w:rsidRPr="00083F96" w:rsidTr="00AA4E42"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E93" w:rsidRPr="000276DB" w:rsidRDefault="00332E93" w:rsidP="008D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Альтернатива 1.</w:t>
            </w:r>
          </w:p>
          <w:p w:rsidR="00332E93" w:rsidRPr="000276DB" w:rsidRDefault="00332E93" w:rsidP="008D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Збере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ження ситуації,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яка існує на даний </w:t>
            </w: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час</w:t>
            </w:r>
          </w:p>
        </w:tc>
        <w:tc>
          <w:tcPr>
            <w:tcW w:w="3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E93" w:rsidRPr="00332E93" w:rsidRDefault="00332E93" w:rsidP="008D5DEC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32E93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відсутні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E93" w:rsidRPr="00332E93" w:rsidRDefault="00332E93" w:rsidP="00332E9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відсутні</w:t>
            </w:r>
          </w:p>
        </w:tc>
      </w:tr>
      <w:tr w:rsidR="00332E93" w:rsidRPr="00083F96" w:rsidTr="00AA4E42"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E93" w:rsidRPr="000276DB" w:rsidRDefault="00332E93" w:rsidP="008D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Альтернатива 2.</w:t>
            </w:r>
          </w:p>
          <w:p w:rsidR="00332E93" w:rsidRPr="000276DB" w:rsidRDefault="00332E93" w:rsidP="008D5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Прийняття запропонованого проє</w:t>
            </w:r>
            <w:r w:rsidRPr="000276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кту рішення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E42" w:rsidRPr="00AA4E42" w:rsidRDefault="00AA4E42" w:rsidP="00AA4E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4E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Причини для відмови відсутні. Обрана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A4E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альтернатива є найбільш раціональним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A4E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варіантом врахування інтересів всіх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A4E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основних груп, на яких проблема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A4E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справляє вплив, приведення </w:t>
            </w:r>
            <w:proofErr w:type="spellStart"/>
            <w:r w:rsidRPr="00AA4E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нормативно-</w:t>
            </w:r>
            <w:proofErr w:type="spellEnd"/>
          </w:p>
          <w:p w:rsidR="00332E93" w:rsidRPr="00332E93" w:rsidRDefault="00AA4E42" w:rsidP="00AA4E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AA4E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правового акта у відповідність до вимог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A4E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чинного законодавства України</w:t>
            </w:r>
            <w:r w:rsidR="005901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0EB" w:rsidRPr="00C210EB" w:rsidRDefault="00C210EB" w:rsidP="00C21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10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разі зміни законодавчих</w:t>
            </w:r>
          </w:p>
          <w:p w:rsidR="00332E93" w:rsidRPr="00332E93" w:rsidRDefault="00C210EB" w:rsidP="00C21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210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актів, відповідний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210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регуляторний акт може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210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бути переглянутий</w:t>
            </w:r>
          </w:p>
        </w:tc>
      </w:tr>
    </w:tbl>
    <w:p w:rsidR="00FE1E64" w:rsidRDefault="003340EC" w:rsidP="00FE1E6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0276D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V. Механізми та заходи, які забезпечать розв’язання визначеної проблеми</w:t>
      </w:r>
    </w:p>
    <w:p w:rsidR="00FE1E64" w:rsidRDefault="00FE1E64" w:rsidP="00FE1E6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07A24" w:rsidRPr="00907A24" w:rsidRDefault="00907A24" w:rsidP="00907A2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7A24">
        <w:rPr>
          <w:rFonts w:ascii="Times New Roman" w:hAnsi="Times New Roman" w:cs="Times New Roman"/>
          <w:sz w:val="24"/>
          <w:szCs w:val="24"/>
          <w:lang w:val="uk-UA"/>
        </w:rPr>
        <w:t>Для впровадження цього регуляторного акта необхідно здійснити інформування громадськості про положення регуляторного акту шляхом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 w:rsidRPr="00907A24">
        <w:rPr>
          <w:rFonts w:ascii="Times New Roman" w:hAnsi="Times New Roman" w:cs="Times New Roman"/>
          <w:sz w:val="24"/>
          <w:szCs w:val="24"/>
          <w:lang w:val="uk-UA"/>
        </w:rPr>
        <w:t xml:space="preserve"> оприлюднення на офіційному веб-сайті Знам’янської територіальної громади.</w:t>
      </w:r>
    </w:p>
    <w:p w:rsidR="00D7544E" w:rsidRDefault="00D7544E" w:rsidP="00907A2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Механізмом, який забезпечить розв’язання проблематики, є прийняття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 рішення «Про </w:t>
      </w:r>
      <w:r w:rsidR="00BB570B" w:rsidRPr="00BB570B">
        <w:rPr>
          <w:rFonts w:ascii="Times New Roman" w:hAnsi="Times New Roman" w:cs="Times New Roman"/>
          <w:sz w:val="24"/>
          <w:szCs w:val="24"/>
          <w:lang w:val="uk-UA"/>
        </w:rPr>
        <w:t>затвердження Положення про оренду комунального майна Знам’янської територіальної громади та забезпечення відносин у сфері оренди комунального майна</w:t>
      </w:r>
      <w:r w:rsidR="00BB570B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BB570B" w:rsidRDefault="00BB570B" w:rsidP="00907A2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Для розв’язання проблеми пропонується:</w:t>
      </w:r>
    </w:p>
    <w:p w:rsidR="00BB570B" w:rsidRDefault="00BB570B" w:rsidP="00BB570B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визначити процедуру підготовки та проведення електронного аукціону, публікації інформації про результати аукціону;</w:t>
      </w:r>
    </w:p>
    <w:p w:rsidR="00BB570B" w:rsidRDefault="00BB570B" w:rsidP="00BB570B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запровадити передачу комунального майна в оренду виключно через електронну торгову систему;</w:t>
      </w:r>
    </w:p>
    <w:p w:rsidR="00BB570B" w:rsidRDefault="00ED75CF" w:rsidP="00BB570B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забезпечити рівний доступ для всіх зацікавлених потенційних орендарів до майна, що пропонується до оренди;</w:t>
      </w:r>
    </w:p>
    <w:p w:rsidR="00ED75CF" w:rsidRPr="00BB570B" w:rsidRDefault="00ED75CF" w:rsidP="00BB570B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підвищити конкуренцію за рахунок спрощення доступу до аукціонів.</w:t>
      </w:r>
    </w:p>
    <w:p w:rsidR="00907A24" w:rsidRPr="00907A24" w:rsidRDefault="00907A24" w:rsidP="00907A2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07A24">
        <w:rPr>
          <w:rFonts w:ascii="Times New Roman" w:hAnsi="Times New Roman" w:cs="Times New Roman"/>
          <w:sz w:val="24"/>
          <w:szCs w:val="24"/>
          <w:lang w:val="uk-UA"/>
        </w:rPr>
        <w:t>Обраний спосіб відповідає вимогам діючого законодавства, а також дозволить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07A24">
        <w:rPr>
          <w:rFonts w:ascii="Times New Roman" w:hAnsi="Times New Roman" w:cs="Times New Roman"/>
          <w:sz w:val="24"/>
          <w:szCs w:val="24"/>
          <w:lang w:val="uk-UA"/>
        </w:rPr>
        <w:t>впорядкувати правові відносини із врахуванням інтересів всіх основних груп, на яких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07A24">
        <w:rPr>
          <w:rFonts w:ascii="Times New Roman" w:hAnsi="Times New Roman" w:cs="Times New Roman"/>
          <w:sz w:val="24"/>
          <w:szCs w:val="24"/>
          <w:lang w:val="uk-UA"/>
        </w:rPr>
        <w:t xml:space="preserve">проблема справляє вплив. </w:t>
      </w:r>
      <w:r w:rsidR="009F4FA0">
        <w:rPr>
          <w:rFonts w:ascii="Times New Roman" w:hAnsi="Times New Roman" w:cs="Times New Roman"/>
          <w:sz w:val="24"/>
          <w:szCs w:val="24"/>
          <w:lang w:val="uk-UA"/>
        </w:rPr>
        <w:t xml:space="preserve">Прийняття </w:t>
      </w:r>
      <w:r w:rsidRPr="00907A24">
        <w:rPr>
          <w:rFonts w:ascii="Times New Roman" w:hAnsi="Times New Roman" w:cs="Times New Roman"/>
          <w:sz w:val="24"/>
          <w:szCs w:val="24"/>
          <w:lang w:val="uk-UA"/>
        </w:rPr>
        <w:t>запропонованого регуляторного акта забезпечить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07A24">
        <w:rPr>
          <w:rFonts w:ascii="Times New Roman" w:hAnsi="Times New Roman" w:cs="Times New Roman"/>
          <w:sz w:val="24"/>
          <w:szCs w:val="24"/>
          <w:lang w:val="uk-UA"/>
        </w:rPr>
        <w:t>досягнення встановлених цілей, починаючи з дня набрання ним чинності.</w:t>
      </w:r>
    </w:p>
    <w:p w:rsidR="00B91D7C" w:rsidRPr="009F4FA0" w:rsidRDefault="003340EC" w:rsidP="00FE1E6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0276D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VI. Оцінка виконання вимог регуляторного акта залежно від ресурсів, якими розпоряджаються органи виконавчої влади чи органи місцевого самоврядування, фізичні та юридичні особи, які повинні проваджувати або виконувати ці вимоги</w:t>
      </w:r>
    </w:p>
    <w:p w:rsidR="00544845" w:rsidRDefault="00544845" w:rsidP="005448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Прийняття регуляторного акту врегулює питання використання електронної торгової системи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ProZorro</w:t>
      </w:r>
      <w:r w:rsidRPr="005448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Продажі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передачі майна в оренду, а також створить баланс інтересів міської влади, громадян та суб’єктів господарювання. </w:t>
      </w:r>
    </w:p>
    <w:p w:rsidR="009C650D" w:rsidRPr="00544845" w:rsidRDefault="00544845" w:rsidP="005448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-BoldMT" w:hAnsi="TimesNewRomanPS-BoldMT" w:cs="TimesNewRomanPS-BoldMT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Введення в дію регуляторного акту не передбачає утворення нового органу або нового структурного підрозділу Знам’янської міської ради, та не потребує збільшення штату посадових осіб в органах місцевого самоврядування, а лише упорядковує вже існуючу діяльність із за</w:t>
      </w:r>
      <w:r w:rsidR="003744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3744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ченого питання.  </w:t>
      </w:r>
    </w:p>
    <w:p w:rsidR="00544845" w:rsidRDefault="00544845" w:rsidP="009C650D">
      <w:pPr>
        <w:spacing w:after="0"/>
        <w:ind w:left="450" w:right="450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/>
        </w:rPr>
      </w:pPr>
    </w:p>
    <w:p w:rsidR="00E4580E" w:rsidRDefault="00E4580E" w:rsidP="009C650D">
      <w:pPr>
        <w:spacing w:after="0"/>
        <w:ind w:left="450" w:right="450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/>
        </w:rPr>
      </w:pPr>
    </w:p>
    <w:p w:rsidR="00E4580E" w:rsidRDefault="00E4580E" w:rsidP="009C650D">
      <w:pPr>
        <w:spacing w:after="0"/>
        <w:ind w:left="450" w:right="450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/>
        </w:rPr>
      </w:pPr>
    </w:p>
    <w:p w:rsidR="00E4580E" w:rsidRDefault="00E4580E" w:rsidP="009C650D">
      <w:pPr>
        <w:spacing w:after="0"/>
        <w:ind w:left="450" w:right="450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/>
        </w:rPr>
      </w:pPr>
    </w:p>
    <w:p w:rsidR="00E4580E" w:rsidRDefault="00E4580E" w:rsidP="009C650D">
      <w:pPr>
        <w:spacing w:after="0"/>
        <w:ind w:left="450" w:right="450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/>
        </w:rPr>
      </w:pPr>
    </w:p>
    <w:p w:rsidR="00E4580E" w:rsidRDefault="00E4580E" w:rsidP="009C650D">
      <w:pPr>
        <w:spacing w:after="0"/>
        <w:ind w:left="450" w:right="450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/>
        </w:rPr>
      </w:pPr>
    </w:p>
    <w:p w:rsidR="009C650D" w:rsidRPr="009C650D" w:rsidRDefault="009C650D" w:rsidP="009C650D">
      <w:pPr>
        <w:spacing w:after="0"/>
        <w:ind w:left="450" w:right="450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/>
        </w:rPr>
      </w:pPr>
      <w:r w:rsidRPr="009C650D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/>
        </w:rPr>
        <w:lastRenderedPageBreak/>
        <w:t>ТЕСТ </w:t>
      </w:r>
    </w:p>
    <w:p w:rsidR="009C650D" w:rsidRDefault="009C650D" w:rsidP="009C650D">
      <w:pPr>
        <w:spacing w:after="0"/>
        <w:ind w:left="450" w:right="450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/>
        </w:rPr>
      </w:pPr>
      <w:r w:rsidRPr="009C650D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/>
        </w:rPr>
        <w:t>малого підприємництва (М-Тест)</w:t>
      </w:r>
    </w:p>
    <w:p w:rsidR="00244FDF" w:rsidRPr="009C650D" w:rsidRDefault="00244FDF" w:rsidP="009C650D">
      <w:pPr>
        <w:spacing w:after="0"/>
        <w:ind w:left="450" w:right="450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/>
        </w:rPr>
      </w:pPr>
    </w:p>
    <w:p w:rsidR="009C650D" w:rsidRPr="009C650D" w:rsidRDefault="009C650D" w:rsidP="009C650D">
      <w:pPr>
        <w:numPr>
          <w:ilvl w:val="0"/>
          <w:numId w:val="5"/>
        </w:numPr>
        <w:spacing w:after="0" w:line="240" w:lineRule="auto"/>
        <w:ind w:left="0" w:right="450" w:firstLine="567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/>
        </w:rPr>
      </w:pPr>
      <w:r w:rsidRPr="009C650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Консультації з представниками </w:t>
      </w:r>
      <w:proofErr w:type="spellStart"/>
      <w:r w:rsidRPr="009C650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мікро-</w:t>
      </w:r>
      <w:proofErr w:type="spellEnd"/>
      <w:r w:rsidRPr="009C650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та малого підприємництва щодо оцінки впливу регулювання</w:t>
      </w:r>
    </w:p>
    <w:p w:rsidR="00B45678" w:rsidRPr="00B45678" w:rsidRDefault="00B45678" w:rsidP="00B45678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456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Консультації щодо визначення впливу запропонованого регулювання на суб'єктів малого підприємництва (далі - СМП) не проводилися, оскільки даним </w:t>
      </w:r>
      <w:proofErr w:type="spellStart"/>
      <w:r w:rsidRPr="00B456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="007871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Pr="00B456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ктом</w:t>
      </w:r>
      <w:proofErr w:type="spellEnd"/>
      <w:r w:rsidRPr="00B456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рішення міська рада реалізує передбачену новим Законом України «Про оренду державного та комунального майна» можливість для представницьких органів місцевого самоврядування самостійного розроблення та затвердження нормативних актів щодо комунального майна в чітких межах визначених законом з метою врахування особливостей комунального майна.</w:t>
      </w:r>
    </w:p>
    <w:p w:rsidR="00B249FD" w:rsidRPr="00B249FD" w:rsidRDefault="00B249FD" w:rsidP="00B249FD">
      <w:pPr>
        <w:tabs>
          <w:tab w:val="left" w:pos="0"/>
          <w:tab w:val="left" w:pos="142"/>
        </w:tabs>
        <w:ind w:left="142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lang w:val="uk-UA" w:eastAsia="uk-UA"/>
        </w:rPr>
      </w:pPr>
      <w:r w:rsidRPr="00B249FD">
        <w:rPr>
          <w:rFonts w:ascii="Times New Roman" w:hAnsi="Times New Roman" w:cs="Times New Roman"/>
          <w:b/>
          <w:bCs/>
          <w:color w:val="000000"/>
          <w:sz w:val="24"/>
          <w:lang w:val="uk-UA" w:eastAsia="uk-UA"/>
        </w:rPr>
        <w:t>2. Вимірювання впливу регулювання на суб’єктів малого підприємництва (</w:t>
      </w:r>
      <w:proofErr w:type="spellStart"/>
      <w:r w:rsidRPr="00B249FD">
        <w:rPr>
          <w:rFonts w:ascii="Times New Roman" w:hAnsi="Times New Roman" w:cs="Times New Roman"/>
          <w:b/>
          <w:bCs/>
          <w:color w:val="000000"/>
          <w:sz w:val="24"/>
          <w:lang w:val="uk-UA" w:eastAsia="uk-UA"/>
        </w:rPr>
        <w:t>мікро-</w:t>
      </w:r>
      <w:proofErr w:type="spellEnd"/>
      <w:r w:rsidRPr="00B249FD">
        <w:rPr>
          <w:rFonts w:ascii="Times New Roman" w:hAnsi="Times New Roman" w:cs="Times New Roman"/>
          <w:b/>
          <w:bCs/>
          <w:color w:val="000000"/>
          <w:sz w:val="24"/>
          <w:lang w:val="uk-UA" w:eastAsia="uk-UA"/>
        </w:rPr>
        <w:t xml:space="preserve"> та малі):</w:t>
      </w:r>
    </w:p>
    <w:p w:rsidR="00B249FD" w:rsidRDefault="00B249FD" w:rsidP="00EB5DD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276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Кількість суб'єктів господарювання, на які поширюватиметься регулювання</w:t>
      </w:r>
      <w:r w:rsidR="009762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всього 41, в т. ч. малих – </w:t>
      </w:r>
      <w:r w:rsidR="007871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9762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9762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мікро</w:t>
      </w:r>
      <w:proofErr w:type="spellEnd"/>
      <w:r w:rsidR="009762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31.</w:t>
      </w:r>
      <w:r w:rsidRPr="000276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762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Питома вага</w:t>
      </w:r>
      <w:r w:rsidRPr="000276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762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суб’єктів малого та </w:t>
      </w:r>
      <w:proofErr w:type="spellStart"/>
      <w:r w:rsidR="009762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мікро</w:t>
      </w:r>
      <w:proofErr w:type="spellEnd"/>
      <w:r w:rsidR="009762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підприємництва </w:t>
      </w:r>
      <w:r w:rsidRPr="000276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загальній кількості суб'єктів господарювання </w:t>
      </w:r>
      <w:r w:rsidR="009762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становить </w:t>
      </w:r>
      <w:r w:rsidR="00B319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</w:t>
      </w:r>
      <w:r w:rsidR="009762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%. </w:t>
      </w:r>
    </w:p>
    <w:p w:rsidR="00B249FD" w:rsidRPr="00B249FD" w:rsidRDefault="00B249FD" w:rsidP="00B249FD">
      <w:pPr>
        <w:ind w:left="142"/>
        <w:contextualSpacing/>
        <w:jc w:val="both"/>
        <w:rPr>
          <w:rFonts w:ascii="Times New Roman" w:eastAsia="Calibri" w:hAnsi="Times New Roman" w:cs="Times New Roman"/>
          <w:b/>
          <w:lang w:val="uk-UA"/>
        </w:rPr>
      </w:pPr>
      <w:r w:rsidRPr="00B249FD">
        <w:rPr>
          <w:rFonts w:ascii="Times New Roman" w:eastAsia="Calibri" w:hAnsi="Times New Roman" w:cs="Times New Roman"/>
          <w:b/>
          <w:color w:val="000000"/>
          <w:shd w:val="clear" w:color="auto" w:fill="FFFFFF"/>
          <w:lang w:val="uk-UA"/>
        </w:rPr>
        <w:t>3. Розрахунок витрат суб’єктів малого підприємництва на виконання вимог регулювання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943"/>
        <w:gridCol w:w="1842"/>
        <w:gridCol w:w="1702"/>
        <w:gridCol w:w="1417"/>
      </w:tblGrid>
      <w:tr w:rsidR="00B249FD" w:rsidRPr="00B249FD" w:rsidTr="008D5DEC">
        <w:trPr>
          <w:trHeight w:val="1051"/>
        </w:trPr>
        <w:tc>
          <w:tcPr>
            <w:tcW w:w="560" w:type="dxa"/>
            <w:shd w:val="clear" w:color="auto" w:fill="auto"/>
          </w:tcPr>
          <w:p w:rsidR="00B249FD" w:rsidRPr="00B249FD" w:rsidRDefault="00B249FD" w:rsidP="008D5DEC">
            <w:pPr>
              <w:rPr>
                <w:rFonts w:ascii="Times New Roman" w:hAnsi="Times New Roman" w:cs="Times New Roman"/>
                <w:b/>
                <w:bCs/>
                <w:color w:val="000000"/>
                <w:lang w:val="uk-UA" w:eastAsia="uk-UA"/>
              </w:rPr>
            </w:pPr>
            <w:r w:rsidRPr="00B249FD">
              <w:rPr>
                <w:rFonts w:ascii="Times New Roman" w:hAnsi="Times New Roman" w:cs="Times New Roman"/>
                <w:b/>
                <w:bCs/>
                <w:color w:val="000000"/>
                <w:lang w:val="uk-UA" w:eastAsia="uk-UA"/>
              </w:rPr>
              <w:t>№</w:t>
            </w:r>
          </w:p>
        </w:tc>
        <w:tc>
          <w:tcPr>
            <w:tcW w:w="3943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 w:eastAsia="uk-UA"/>
              </w:rPr>
            </w:pPr>
            <w:r w:rsidRPr="00B249FD">
              <w:rPr>
                <w:rFonts w:ascii="Times New Roman" w:hAnsi="Times New Roman" w:cs="Times New Roman"/>
                <w:b/>
                <w:bCs/>
                <w:color w:val="000000"/>
                <w:lang w:val="uk-UA" w:eastAsia="uk-UA"/>
              </w:rPr>
              <w:t>Найменування оцінки</w:t>
            </w:r>
          </w:p>
        </w:tc>
        <w:tc>
          <w:tcPr>
            <w:tcW w:w="1842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 w:eastAsia="uk-UA"/>
              </w:rPr>
            </w:pPr>
            <w:r w:rsidRPr="00B249FD">
              <w:rPr>
                <w:rFonts w:ascii="Times New Roman" w:hAnsi="Times New Roman" w:cs="Times New Roman"/>
                <w:b/>
                <w:bCs/>
                <w:color w:val="000000"/>
                <w:lang w:val="uk-UA" w:eastAsia="uk-UA"/>
              </w:rPr>
              <w:t>У перший рік (стартовий рік впровадження регулювання)</w:t>
            </w:r>
          </w:p>
        </w:tc>
        <w:tc>
          <w:tcPr>
            <w:tcW w:w="1702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 w:eastAsia="uk-UA"/>
              </w:rPr>
            </w:pPr>
            <w:r w:rsidRPr="00B249FD">
              <w:rPr>
                <w:rFonts w:ascii="Times New Roman" w:hAnsi="Times New Roman" w:cs="Times New Roman"/>
                <w:b/>
                <w:bCs/>
                <w:color w:val="000000"/>
                <w:lang w:val="uk-UA" w:eastAsia="uk-UA"/>
              </w:rPr>
              <w:t>Періодичні (за наступний рік)</w:t>
            </w:r>
          </w:p>
        </w:tc>
        <w:tc>
          <w:tcPr>
            <w:tcW w:w="1417" w:type="dxa"/>
          </w:tcPr>
          <w:p w:rsidR="00B249FD" w:rsidRPr="00B249FD" w:rsidRDefault="00B249FD" w:rsidP="008D5D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 w:eastAsia="uk-UA"/>
              </w:rPr>
            </w:pPr>
            <w:r w:rsidRPr="00B249FD">
              <w:rPr>
                <w:rFonts w:ascii="Times New Roman" w:hAnsi="Times New Roman" w:cs="Times New Roman"/>
                <w:b/>
                <w:bCs/>
                <w:color w:val="000000"/>
                <w:lang w:val="uk-UA" w:eastAsia="uk-UA"/>
              </w:rPr>
              <w:t>Витрати за п’ять років</w:t>
            </w:r>
          </w:p>
        </w:tc>
      </w:tr>
      <w:tr w:rsidR="00B249FD" w:rsidRPr="00B249FD" w:rsidTr="008D5DEC">
        <w:trPr>
          <w:trHeight w:val="345"/>
        </w:trPr>
        <w:tc>
          <w:tcPr>
            <w:tcW w:w="9464" w:type="dxa"/>
            <w:gridSpan w:val="5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 w:eastAsia="uk-UA"/>
              </w:rPr>
            </w:pPr>
            <w:r w:rsidRPr="00B249FD">
              <w:rPr>
                <w:rFonts w:ascii="Times New Roman" w:hAnsi="Times New Roman" w:cs="Times New Roman"/>
                <w:b/>
                <w:bCs/>
                <w:color w:val="000000"/>
                <w:lang w:val="uk-UA" w:eastAsia="uk-UA"/>
              </w:rPr>
              <w:t>Оцінка «прямих»  витрат суб’єктів малого підприємництва на виконання регулювання</w:t>
            </w:r>
          </w:p>
        </w:tc>
      </w:tr>
      <w:tr w:rsidR="00B249FD" w:rsidRPr="00B249FD" w:rsidTr="008D5DEC">
        <w:trPr>
          <w:trHeight w:val="600"/>
        </w:trPr>
        <w:tc>
          <w:tcPr>
            <w:tcW w:w="560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hAnsi="Times New Roman" w:cs="Times New Roman"/>
                <w:bCs/>
                <w:lang w:val="uk-UA" w:eastAsia="uk-UA"/>
              </w:rPr>
            </w:pPr>
            <w:r w:rsidRPr="00B249FD">
              <w:rPr>
                <w:rFonts w:ascii="Times New Roman" w:hAnsi="Times New Roman" w:cs="Times New Roman"/>
                <w:bCs/>
                <w:lang w:val="uk-UA" w:eastAsia="uk-UA"/>
              </w:rPr>
              <w:t>1</w:t>
            </w:r>
          </w:p>
        </w:tc>
        <w:tc>
          <w:tcPr>
            <w:tcW w:w="3943" w:type="dxa"/>
            <w:shd w:val="clear" w:color="auto" w:fill="auto"/>
          </w:tcPr>
          <w:p w:rsidR="00B249FD" w:rsidRPr="00B249FD" w:rsidRDefault="00B249FD" w:rsidP="00F36456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  <w:t>Придбання необхідного обладнання (пристроїв, машин, механізмів)</w:t>
            </w:r>
          </w:p>
        </w:tc>
        <w:tc>
          <w:tcPr>
            <w:tcW w:w="1842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0</w:t>
            </w:r>
          </w:p>
        </w:tc>
        <w:tc>
          <w:tcPr>
            <w:tcW w:w="1702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0</w:t>
            </w:r>
          </w:p>
        </w:tc>
        <w:tc>
          <w:tcPr>
            <w:tcW w:w="1417" w:type="dxa"/>
          </w:tcPr>
          <w:p w:rsidR="00B249FD" w:rsidRPr="00B249FD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0</w:t>
            </w:r>
          </w:p>
        </w:tc>
      </w:tr>
      <w:tr w:rsidR="00B249FD" w:rsidRPr="00B249FD" w:rsidTr="008D5DEC">
        <w:trPr>
          <w:trHeight w:val="600"/>
        </w:trPr>
        <w:tc>
          <w:tcPr>
            <w:tcW w:w="560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hAnsi="Times New Roman" w:cs="Times New Roman"/>
                <w:bCs/>
                <w:lang w:val="uk-UA" w:eastAsia="uk-UA"/>
              </w:rPr>
            </w:pPr>
            <w:r w:rsidRPr="00B249FD">
              <w:rPr>
                <w:rFonts w:ascii="Times New Roman" w:hAnsi="Times New Roman" w:cs="Times New Roman"/>
                <w:bCs/>
                <w:lang w:val="uk-UA" w:eastAsia="uk-UA"/>
              </w:rPr>
              <w:t>2</w:t>
            </w:r>
          </w:p>
        </w:tc>
        <w:tc>
          <w:tcPr>
            <w:tcW w:w="3943" w:type="dxa"/>
            <w:shd w:val="clear" w:color="auto" w:fill="auto"/>
          </w:tcPr>
          <w:p w:rsidR="00B249FD" w:rsidRPr="00B249FD" w:rsidRDefault="00B249FD" w:rsidP="00F36456">
            <w:pPr>
              <w:spacing w:after="0"/>
              <w:ind w:left="3" w:hanging="3"/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  <w:t>Процедури повірки та/або постановки на відповідний облік у визначеному органі державної влади чи місцевого самоврядування</w:t>
            </w:r>
          </w:p>
        </w:tc>
        <w:tc>
          <w:tcPr>
            <w:tcW w:w="1842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0</w:t>
            </w:r>
          </w:p>
        </w:tc>
        <w:tc>
          <w:tcPr>
            <w:tcW w:w="1702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0</w:t>
            </w:r>
          </w:p>
        </w:tc>
        <w:tc>
          <w:tcPr>
            <w:tcW w:w="1417" w:type="dxa"/>
          </w:tcPr>
          <w:p w:rsidR="00B249FD" w:rsidRPr="00B249FD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0</w:t>
            </w:r>
          </w:p>
        </w:tc>
      </w:tr>
      <w:tr w:rsidR="00B249FD" w:rsidRPr="00B249FD" w:rsidTr="008D5DEC">
        <w:trPr>
          <w:trHeight w:val="600"/>
        </w:trPr>
        <w:tc>
          <w:tcPr>
            <w:tcW w:w="560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hAnsi="Times New Roman" w:cs="Times New Roman"/>
                <w:bCs/>
                <w:lang w:val="uk-UA" w:eastAsia="uk-UA"/>
              </w:rPr>
            </w:pPr>
            <w:r w:rsidRPr="00B249FD">
              <w:rPr>
                <w:rFonts w:ascii="Times New Roman" w:hAnsi="Times New Roman" w:cs="Times New Roman"/>
                <w:bCs/>
                <w:lang w:val="uk-UA" w:eastAsia="uk-UA"/>
              </w:rPr>
              <w:t>3</w:t>
            </w:r>
          </w:p>
        </w:tc>
        <w:tc>
          <w:tcPr>
            <w:tcW w:w="3943" w:type="dxa"/>
            <w:shd w:val="clear" w:color="auto" w:fill="auto"/>
          </w:tcPr>
          <w:p w:rsidR="00B249FD" w:rsidRPr="00B249FD" w:rsidRDefault="00B249FD" w:rsidP="00F36456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  <w:t>Процедури експлуатації обладнання (експлуатаційні витрати – витратні матеріали)</w:t>
            </w:r>
          </w:p>
        </w:tc>
        <w:tc>
          <w:tcPr>
            <w:tcW w:w="1842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0</w:t>
            </w:r>
          </w:p>
        </w:tc>
        <w:tc>
          <w:tcPr>
            <w:tcW w:w="1702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0</w:t>
            </w:r>
          </w:p>
        </w:tc>
        <w:tc>
          <w:tcPr>
            <w:tcW w:w="1417" w:type="dxa"/>
          </w:tcPr>
          <w:p w:rsidR="00B249FD" w:rsidRPr="00B249FD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0</w:t>
            </w:r>
          </w:p>
        </w:tc>
      </w:tr>
      <w:tr w:rsidR="00B249FD" w:rsidRPr="00B249FD" w:rsidTr="008D5DEC">
        <w:trPr>
          <w:trHeight w:val="600"/>
        </w:trPr>
        <w:tc>
          <w:tcPr>
            <w:tcW w:w="560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hAnsi="Times New Roman" w:cs="Times New Roman"/>
                <w:bCs/>
                <w:lang w:val="uk-UA" w:eastAsia="uk-UA"/>
              </w:rPr>
            </w:pPr>
            <w:r w:rsidRPr="00B249FD">
              <w:rPr>
                <w:rFonts w:ascii="Times New Roman" w:hAnsi="Times New Roman" w:cs="Times New Roman"/>
                <w:bCs/>
                <w:lang w:val="uk-UA" w:eastAsia="uk-UA"/>
              </w:rPr>
              <w:t>4</w:t>
            </w:r>
          </w:p>
        </w:tc>
        <w:tc>
          <w:tcPr>
            <w:tcW w:w="3943" w:type="dxa"/>
            <w:shd w:val="clear" w:color="auto" w:fill="auto"/>
          </w:tcPr>
          <w:p w:rsidR="00B249FD" w:rsidRPr="00B249FD" w:rsidRDefault="00B249FD" w:rsidP="00F36456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  <w:t>Процедури обслуговування обладнання (технічне обслуговування)</w:t>
            </w:r>
          </w:p>
        </w:tc>
        <w:tc>
          <w:tcPr>
            <w:tcW w:w="1842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0</w:t>
            </w:r>
          </w:p>
        </w:tc>
        <w:tc>
          <w:tcPr>
            <w:tcW w:w="1702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0</w:t>
            </w:r>
          </w:p>
        </w:tc>
        <w:tc>
          <w:tcPr>
            <w:tcW w:w="1417" w:type="dxa"/>
          </w:tcPr>
          <w:p w:rsidR="00B249FD" w:rsidRPr="00B249FD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0</w:t>
            </w:r>
          </w:p>
        </w:tc>
      </w:tr>
      <w:tr w:rsidR="00B249FD" w:rsidRPr="00B249FD" w:rsidTr="008D5DEC">
        <w:trPr>
          <w:trHeight w:val="299"/>
        </w:trPr>
        <w:tc>
          <w:tcPr>
            <w:tcW w:w="560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hAnsi="Times New Roman" w:cs="Times New Roman"/>
                <w:bCs/>
                <w:lang w:val="uk-UA" w:eastAsia="uk-UA"/>
              </w:rPr>
            </w:pPr>
            <w:r w:rsidRPr="00B249FD">
              <w:rPr>
                <w:rFonts w:ascii="Times New Roman" w:hAnsi="Times New Roman" w:cs="Times New Roman"/>
                <w:bCs/>
                <w:lang w:val="uk-UA" w:eastAsia="uk-UA"/>
              </w:rPr>
              <w:t>5</w:t>
            </w:r>
          </w:p>
        </w:tc>
        <w:tc>
          <w:tcPr>
            <w:tcW w:w="3943" w:type="dxa"/>
            <w:shd w:val="clear" w:color="auto" w:fill="auto"/>
          </w:tcPr>
          <w:p w:rsidR="00B249FD" w:rsidRDefault="00B249FD" w:rsidP="00F36456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  <w:t xml:space="preserve">Інші процедури </w:t>
            </w:r>
          </w:p>
          <w:p w:rsidR="00CF307D" w:rsidRPr="00CF307D" w:rsidRDefault="00CF307D" w:rsidP="00F36456">
            <w:pPr>
              <w:spacing w:after="0"/>
              <w:rPr>
                <w:rFonts w:ascii="Times New Roman" w:eastAsia="Calibri" w:hAnsi="Times New Roman" w:cs="Times New Roman"/>
                <w:bCs/>
                <w:i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lang w:val="uk-UA" w:eastAsia="uk-UA"/>
              </w:rPr>
              <w:t>с</w:t>
            </w:r>
            <w:r w:rsidRPr="00CF307D">
              <w:rPr>
                <w:rFonts w:ascii="Times New Roman" w:eastAsia="Calibri" w:hAnsi="Times New Roman" w:cs="Times New Roman"/>
                <w:bCs/>
                <w:i/>
                <w:color w:val="000000"/>
                <w:lang w:val="uk-UA" w:eastAsia="uk-UA"/>
              </w:rPr>
              <w:t>плата за оренду майна орендодавцями</w:t>
            </w:r>
          </w:p>
        </w:tc>
        <w:tc>
          <w:tcPr>
            <w:tcW w:w="1842" w:type="dxa"/>
            <w:shd w:val="clear" w:color="auto" w:fill="auto"/>
          </w:tcPr>
          <w:p w:rsidR="00B249FD" w:rsidRPr="00B249FD" w:rsidRDefault="00133FC1" w:rsidP="00133FC1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20487,80</w:t>
            </w:r>
          </w:p>
        </w:tc>
        <w:tc>
          <w:tcPr>
            <w:tcW w:w="1702" w:type="dxa"/>
            <w:shd w:val="clear" w:color="auto" w:fill="auto"/>
          </w:tcPr>
          <w:p w:rsidR="00B249FD" w:rsidRPr="00B249FD" w:rsidRDefault="00133FC1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20487,80</w:t>
            </w:r>
          </w:p>
        </w:tc>
        <w:tc>
          <w:tcPr>
            <w:tcW w:w="1417" w:type="dxa"/>
          </w:tcPr>
          <w:p w:rsidR="00B249FD" w:rsidRPr="00B249FD" w:rsidRDefault="00133FC1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102439,00</w:t>
            </w:r>
          </w:p>
        </w:tc>
      </w:tr>
      <w:tr w:rsidR="00B249FD" w:rsidRPr="00B249FD" w:rsidTr="008D5DEC">
        <w:trPr>
          <w:trHeight w:val="600"/>
        </w:trPr>
        <w:tc>
          <w:tcPr>
            <w:tcW w:w="560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hAnsi="Times New Roman" w:cs="Times New Roman"/>
                <w:bCs/>
                <w:lang w:val="uk-UA" w:eastAsia="uk-UA"/>
              </w:rPr>
            </w:pPr>
            <w:r w:rsidRPr="00B249FD">
              <w:rPr>
                <w:rFonts w:ascii="Times New Roman" w:hAnsi="Times New Roman" w:cs="Times New Roman"/>
                <w:bCs/>
                <w:lang w:val="uk-UA" w:eastAsia="uk-UA"/>
              </w:rPr>
              <w:t>5.1</w:t>
            </w:r>
          </w:p>
        </w:tc>
        <w:tc>
          <w:tcPr>
            <w:tcW w:w="3943" w:type="dxa"/>
            <w:shd w:val="clear" w:color="auto" w:fill="auto"/>
          </w:tcPr>
          <w:p w:rsidR="00B249FD" w:rsidRPr="00B249FD" w:rsidRDefault="00B249FD" w:rsidP="00F36456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  <w:t>Витрати на придбання засобів, зокрема, обладнання необхідних для входження на ринок (одноразові витрати)</w:t>
            </w:r>
          </w:p>
        </w:tc>
        <w:tc>
          <w:tcPr>
            <w:tcW w:w="1842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 0</w:t>
            </w:r>
          </w:p>
        </w:tc>
        <w:tc>
          <w:tcPr>
            <w:tcW w:w="1702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0 </w:t>
            </w:r>
          </w:p>
        </w:tc>
        <w:tc>
          <w:tcPr>
            <w:tcW w:w="1417" w:type="dxa"/>
          </w:tcPr>
          <w:p w:rsidR="00B249FD" w:rsidRPr="00B249FD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0</w:t>
            </w:r>
          </w:p>
        </w:tc>
      </w:tr>
      <w:tr w:rsidR="00B249FD" w:rsidRPr="00B249FD" w:rsidTr="008D5DEC">
        <w:trPr>
          <w:trHeight w:val="465"/>
        </w:trPr>
        <w:tc>
          <w:tcPr>
            <w:tcW w:w="560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hAnsi="Times New Roman" w:cs="Times New Roman"/>
                <w:bCs/>
                <w:lang w:val="uk-UA" w:eastAsia="uk-UA"/>
              </w:rPr>
            </w:pPr>
            <w:r w:rsidRPr="00B249FD">
              <w:rPr>
                <w:rFonts w:ascii="Times New Roman" w:hAnsi="Times New Roman" w:cs="Times New Roman"/>
                <w:bCs/>
                <w:lang w:val="uk-UA" w:eastAsia="uk-UA"/>
              </w:rPr>
              <w:t>6</w:t>
            </w:r>
          </w:p>
        </w:tc>
        <w:tc>
          <w:tcPr>
            <w:tcW w:w="3943" w:type="dxa"/>
            <w:shd w:val="clear" w:color="auto" w:fill="auto"/>
          </w:tcPr>
          <w:p w:rsidR="00B249FD" w:rsidRPr="00B249FD" w:rsidRDefault="00B249FD" w:rsidP="00F36456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  <w:t>Разом, гривень Формула: (сума рядків 1 + 2 + 3 + 4 + 5)</w:t>
            </w:r>
          </w:p>
        </w:tc>
        <w:tc>
          <w:tcPr>
            <w:tcW w:w="1842" w:type="dxa"/>
            <w:shd w:val="clear" w:color="auto" w:fill="auto"/>
          </w:tcPr>
          <w:p w:rsidR="00B249FD" w:rsidRPr="00B249FD" w:rsidRDefault="00310386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0</w:t>
            </w:r>
          </w:p>
        </w:tc>
        <w:tc>
          <w:tcPr>
            <w:tcW w:w="1702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Х</w:t>
            </w:r>
          </w:p>
        </w:tc>
        <w:tc>
          <w:tcPr>
            <w:tcW w:w="1417" w:type="dxa"/>
          </w:tcPr>
          <w:p w:rsidR="00B249FD" w:rsidRPr="00B249FD" w:rsidRDefault="00310386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0</w:t>
            </w:r>
          </w:p>
        </w:tc>
      </w:tr>
      <w:tr w:rsidR="00B249FD" w:rsidRPr="00B249FD" w:rsidTr="008D5DEC">
        <w:trPr>
          <w:trHeight w:val="465"/>
        </w:trPr>
        <w:tc>
          <w:tcPr>
            <w:tcW w:w="560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hAnsi="Times New Roman" w:cs="Times New Roman"/>
                <w:bCs/>
                <w:lang w:val="uk-UA" w:eastAsia="uk-UA"/>
              </w:rPr>
            </w:pPr>
            <w:r w:rsidRPr="00B249FD">
              <w:rPr>
                <w:rFonts w:ascii="Times New Roman" w:hAnsi="Times New Roman" w:cs="Times New Roman"/>
                <w:bCs/>
                <w:lang w:val="uk-UA" w:eastAsia="uk-UA"/>
              </w:rPr>
              <w:t>7</w:t>
            </w:r>
          </w:p>
        </w:tc>
        <w:tc>
          <w:tcPr>
            <w:tcW w:w="3943" w:type="dxa"/>
            <w:shd w:val="clear" w:color="auto" w:fill="auto"/>
          </w:tcPr>
          <w:p w:rsidR="00B249FD" w:rsidRPr="00B249FD" w:rsidRDefault="00B249FD" w:rsidP="00F36456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  <w:t>Кількість суб’єктів господарювання, що повинні виконати вимоги регулювання, одиниць</w:t>
            </w:r>
          </w:p>
        </w:tc>
        <w:tc>
          <w:tcPr>
            <w:tcW w:w="4961" w:type="dxa"/>
            <w:gridSpan w:val="3"/>
            <w:shd w:val="clear" w:color="auto" w:fill="auto"/>
          </w:tcPr>
          <w:p w:rsidR="00B249FD" w:rsidRPr="00B249FD" w:rsidRDefault="00506E8C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41</w:t>
            </w:r>
          </w:p>
        </w:tc>
      </w:tr>
      <w:tr w:rsidR="00B249FD" w:rsidRPr="00B249FD" w:rsidTr="008D5DEC">
        <w:trPr>
          <w:trHeight w:val="291"/>
        </w:trPr>
        <w:tc>
          <w:tcPr>
            <w:tcW w:w="560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hAnsi="Times New Roman" w:cs="Times New Roman"/>
                <w:bCs/>
                <w:lang w:val="uk-UA" w:eastAsia="uk-UA"/>
              </w:rPr>
            </w:pPr>
            <w:r w:rsidRPr="00B249FD">
              <w:rPr>
                <w:rFonts w:ascii="Times New Roman" w:hAnsi="Times New Roman" w:cs="Times New Roman"/>
                <w:bCs/>
                <w:lang w:val="uk-UA" w:eastAsia="uk-UA"/>
              </w:rPr>
              <w:t>8</w:t>
            </w:r>
          </w:p>
        </w:tc>
        <w:tc>
          <w:tcPr>
            <w:tcW w:w="3943" w:type="dxa"/>
            <w:shd w:val="clear" w:color="auto" w:fill="auto"/>
          </w:tcPr>
          <w:p w:rsidR="00B249FD" w:rsidRPr="00B249FD" w:rsidRDefault="00B249FD" w:rsidP="00F3645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b/>
                <w:bCs/>
                <w:color w:val="000000"/>
                <w:lang w:val="uk-UA" w:eastAsia="uk-UA"/>
              </w:rPr>
              <w:t>Сумарно, гривень</w:t>
            </w:r>
          </w:p>
        </w:tc>
        <w:tc>
          <w:tcPr>
            <w:tcW w:w="1842" w:type="dxa"/>
            <w:shd w:val="clear" w:color="auto" w:fill="auto"/>
          </w:tcPr>
          <w:p w:rsidR="00B249FD" w:rsidRPr="00B249FD" w:rsidRDefault="00392284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839999,80</w:t>
            </w:r>
          </w:p>
        </w:tc>
        <w:tc>
          <w:tcPr>
            <w:tcW w:w="1702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Х</w:t>
            </w:r>
          </w:p>
        </w:tc>
        <w:tc>
          <w:tcPr>
            <w:tcW w:w="1417" w:type="dxa"/>
          </w:tcPr>
          <w:p w:rsidR="00B249FD" w:rsidRPr="00B249FD" w:rsidRDefault="00392284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4199999,00</w:t>
            </w:r>
          </w:p>
        </w:tc>
      </w:tr>
      <w:tr w:rsidR="00B249FD" w:rsidRPr="00B249FD" w:rsidTr="008D5DEC">
        <w:trPr>
          <w:trHeight w:val="491"/>
        </w:trPr>
        <w:tc>
          <w:tcPr>
            <w:tcW w:w="9464" w:type="dxa"/>
            <w:gridSpan w:val="5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 w:eastAsia="uk-UA"/>
              </w:rPr>
            </w:pPr>
            <w:r w:rsidRPr="00B249FD">
              <w:rPr>
                <w:rFonts w:ascii="Times New Roman" w:hAnsi="Times New Roman" w:cs="Times New Roman"/>
                <w:b/>
                <w:bCs/>
                <w:color w:val="000000"/>
                <w:lang w:val="uk-UA" w:eastAsia="uk-UA"/>
              </w:rPr>
              <w:t xml:space="preserve">Оцінка вартості адміністративних процедур суб’єктів малого підприємництва щодо </w:t>
            </w:r>
            <w:r w:rsidRPr="00B249FD">
              <w:rPr>
                <w:rFonts w:ascii="Times New Roman" w:hAnsi="Times New Roman" w:cs="Times New Roman"/>
                <w:b/>
                <w:bCs/>
                <w:color w:val="000000"/>
                <w:lang w:val="uk-UA" w:eastAsia="uk-UA"/>
              </w:rPr>
              <w:lastRenderedPageBreak/>
              <w:t>виконання регулювання та звітування</w:t>
            </w:r>
          </w:p>
        </w:tc>
      </w:tr>
      <w:tr w:rsidR="00B249FD" w:rsidRPr="00B249FD" w:rsidTr="008D5DEC">
        <w:trPr>
          <w:trHeight w:val="465"/>
        </w:trPr>
        <w:tc>
          <w:tcPr>
            <w:tcW w:w="560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hAnsi="Times New Roman" w:cs="Times New Roman"/>
                <w:bCs/>
                <w:lang w:val="uk-UA" w:eastAsia="uk-UA"/>
              </w:rPr>
            </w:pPr>
            <w:r w:rsidRPr="00B249FD">
              <w:rPr>
                <w:rFonts w:ascii="Times New Roman" w:hAnsi="Times New Roman" w:cs="Times New Roman"/>
                <w:bCs/>
                <w:lang w:val="uk-UA" w:eastAsia="uk-UA"/>
              </w:rPr>
              <w:lastRenderedPageBreak/>
              <w:t>9</w:t>
            </w:r>
          </w:p>
        </w:tc>
        <w:tc>
          <w:tcPr>
            <w:tcW w:w="3943" w:type="dxa"/>
            <w:shd w:val="clear" w:color="auto" w:fill="auto"/>
          </w:tcPr>
          <w:p w:rsidR="00B249FD" w:rsidRPr="00B249FD" w:rsidRDefault="00B249FD" w:rsidP="00F36456">
            <w:pPr>
              <w:spacing w:after="0"/>
              <w:rPr>
                <w:rFonts w:ascii="Times New Roman" w:eastAsia="Calibri" w:hAnsi="Times New Roman" w:cs="Times New Roman"/>
                <w:bCs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bCs/>
                <w:lang w:val="uk-UA" w:eastAsia="uk-UA"/>
              </w:rPr>
              <w:t>Процедури отримання первинної інформації про вимоги регулювання</w:t>
            </w:r>
          </w:p>
        </w:tc>
        <w:tc>
          <w:tcPr>
            <w:tcW w:w="1842" w:type="dxa"/>
            <w:shd w:val="clear" w:color="auto" w:fill="auto"/>
          </w:tcPr>
          <w:p w:rsidR="008A1E77" w:rsidRDefault="004D0437" w:rsidP="008D5DEC">
            <w:pPr>
              <w:jc w:val="center"/>
              <w:rPr>
                <w:rFonts w:ascii="Times New Roman" w:eastAsia="Calibri" w:hAnsi="Times New Roman" w:cs="Times New Roman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lang w:val="uk-UA" w:eastAsia="uk-UA"/>
              </w:rPr>
              <w:t>2 год.*</w:t>
            </w:r>
            <w:r w:rsidR="008A1E77">
              <w:rPr>
                <w:rFonts w:ascii="Times New Roman" w:eastAsia="Calibri" w:hAnsi="Times New Roman" w:cs="Times New Roman"/>
                <w:lang w:val="uk-UA" w:eastAsia="uk-UA"/>
              </w:rPr>
              <w:t>31,25=</w:t>
            </w:r>
          </w:p>
          <w:p w:rsidR="00B249FD" w:rsidRPr="00B249FD" w:rsidRDefault="008A1E77" w:rsidP="008D5DEC">
            <w:pPr>
              <w:jc w:val="center"/>
              <w:rPr>
                <w:rFonts w:ascii="Times New Roman" w:eastAsia="Calibri" w:hAnsi="Times New Roman" w:cs="Times New Roman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lang w:val="uk-UA" w:eastAsia="uk-UA"/>
              </w:rPr>
              <w:t>=62,50</w:t>
            </w:r>
            <w:r w:rsidR="003236E5">
              <w:rPr>
                <w:rFonts w:ascii="Times New Roman" w:eastAsia="Calibri" w:hAnsi="Times New Roman" w:cs="Times New Roman"/>
                <w:lang w:val="uk-UA" w:eastAsia="uk-UA"/>
              </w:rPr>
              <w:t xml:space="preserve"> грн.</w:t>
            </w:r>
          </w:p>
        </w:tc>
        <w:tc>
          <w:tcPr>
            <w:tcW w:w="1702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lang w:val="uk-UA" w:eastAsia="uk-UA"/>
              </w:rPr>
              <w:t>0</w:t>
            </w:r>
          </w:p>
        </w:tc>
        <w:tc>
          <w:tcPr>
            <w:tcW w:w="1417" w:type="dxa"/>
          </w:tcPr>
          <w:p w:rsidR="00B249FD" w:rsidRPr="00B249FD" w:rsidRDefault="003236E5" w:rsidP="008D5DEC">
            <w:pPr>
              <w:jc w:val="center"/>
              <w:rPr>
                <w:rFonts w:ascii="Times New Roman" w:eastAsia="Calibri" w:hAnsi="Times New Roman" w:cs="Times New Roman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lang w:val="uk-UA" w:eastAsia="uk-UA"/>
              </w:rPr>
              <w:t>62,50 грн.</w:t>
            </w:r>
          </w:p>
        </w:tc>
      </w:tr>
      <w:tr w:rsidR="00B249FD" w:rsidRPr="00B249FD" w:rsidTr="008D5DEC">
        <w:trPr>
          <w:trHeight w:val="465"/>
        </w:trPr>
        <w:tc>
          <w:tcPr>
            <w:tcW w:w="560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hAnsi="Times New Roman" w:cs="Times New Roman"/>
                <w:bCs/>
                <w:lang w:val="uk-UA" w:eastAsia="uk-UA"/>
              </w:rPr>
            </w:pPr>
            <w:r w:rsidRPr="00B249FD">
              <w:rPr>
                <w:rFonts w:ascii="Times New Roman" w:hAnsi="Times New Roman" w:cs="Times New Roman"/>
                <w:bCs/>
                <w:lang w:val="uk-UA" w:eastAsia="uk-UA"/>
              </w:rPr>
              <w:t>10</w:t>
            </w:r>
          </w:p>
        </w:tc>
        <w:tc>
          <w:tcPr>
            <w:tcW w:w="3943" w:type="dxa"/>
            <w:shd w:val="clear" w:color="auto" w:fill="auto"/>
          </w:tcPr>
          <w:p w:rsidR="00B249FD" w:rsidRDefault="00B249FD" w:rsidP="00F36456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  <w:t>Процедури організації виконання вимог регулювання</w:t>
            </w:r>
          </w:p>
          <w:p w:rsidR="00377890" w:rsidRPr="00377890" w:rsidRDefault="00377890" w:rsidP="00F36456">
            <w:pPr>
              <w:spacing w:after="0"/>
              <w:rPr>
                <w:rFonts w:ascii="Times New Roman" w:eastAsia="Calibri" w:hAnsi="Times New Roman" w:cs="Times New Roman"/>
                <w:bCs/>
                <w:i/>
                <w:color w:val="000000"/>
                <w:lang w:val="uk-UA" w:eastAsia="uk-UA"/>
              </w:rPr>
            </w:pPr>
            <w:r w:rsidRPr="00377890">
              <w:rPr>
                <w:rFonts w:ascii="Times New Roman" w:eastAsia="Calibri" w:hAnsi="Times New Roman" w:cs="Times New Roman"/>
                <w:bCs/>
                <w:i/>
                <w:color w:val="000000"/>
                <w:lang w:val="uk-UA" w:eastAsia="uk-UA"/>
              </w:rPr>
              <w:t>участь в аукціоні:</w:t>
            </w:r>
          </w:p>
          <w:p w:rsidR="00377890" w:rsidRDefault="00377890" w:rsidP="00F36456">
            <w:pPr>
              <w:spacing w:after="0"/>
              <w:rPr>
                <w:rFonts w:ascii="Times New Roman" w:eastAsia="Calibri" w:hAnsi="Times New Roman" w:cs="Times New Roman"/>
                <w:bCs/>
                <w:i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lang w:val="uk-UA" w:eastAsia="uk-UA"/>
              </w:rPr>
              <w:t xml:space="preserve">реєстраційний внесок у розмірі 0,1 мінімальної заробітної плати, діючої станом на 1 січня </w:t>
            </w:r>
            <w:r w:rsidR="009B4473" w:rsidRPr="009B4473">
              <w:rPr>
                <w:rFonts w:ascii="Times New Roman" w:eastAsia="Calibri" w:hAnsi="Times New Roman" w:cs="Times New Roman"/>
                <w:bCs/>
                <w:i/>
                <w:color w:val="000000"/>
                <w:lang w:eastAsia="uk-UA"/>
              </w:rPr>
              <w:t xml:space="preserve">поточного року, яка вноситься </w:t>
            </w:r>
            <w:proofErr w:type="spellStart"/>
            <w:r w:rsidR="009B4473" w:rsidRPr="009B4473">
              <w:rPr>
                <w:rFonts w:ascii="Times New Roman" w:eastAsia="Calibri" w:hAnsi="Times New Roman" w:cs="Times New Roman"/>
                <w:bCs/>
                <w:i/>
                <w:color w:val="000000"/>
                <w:lang w:eastAsia="uk-UA"/>
              </w:rPr>
              <w:t>потенційним</w:t>
            </w:r>
            <w:proofErr w:type="spellEnd"/>
            <w:r w:rsidR="009B4473" w:rsidRPr="009B4473">
              <w:rPr>
                <w:rFonts w:ascii="Times New Roman" w:eastAsia="Calibri" w:hAnsi="Times New Roman" w:cs="Times New Roman"/>
                <w:bCs/>
                <w:i/>
                <w:color w:val="000000"/>
                <w:lang w:eastAsia="uk-UA"/>
              </w:rPr>
              <w:t xml:space="preserve"> </w:t>
            </w:r>
            <w:proofErr w:type="spellStart"/>
            <w:r w:rsidR="009B4473" w:rsidRPr="009B4473">
              <w:rPr>
                <w:rFonts w:ascii="Times New Roman" w:eastAsia="Calibri" w:hAnsi="Times New Roman" w:cs="Times New Roman"/>
                <w:bCs/>
                <w:i/>
                <w:color w:val="000000"/>
                <w:lang w:eastAsia="uk-UA"/>
              </w:rPr>
              <w:t>орендарем</w:t>
            </w:r>
            <w:proofErr w:type="spellEnd"/>
            <w:r w:rsidR="009B4473" w:rsidRPr="009B4473">
              <w:rPr>
                <w:rFonts w:ascii="Times New Roman" w:eastAsia="Calibri" w:hAnsi="Times New Roman" w:cs="Times New Roman"/>
                <w:bCs/>
                <w:i/>
                <w:color w:val="000000"/>
                <w:lang w:eastAsia="uk-UA"/>
              </w:rPr>
              <w:t xml:space="preserve"> на </w:t>
            </w:r>
            <w:proofErr w:type="spellStart"/>
            <w:r w:rsidR="009B4473" w:rsidRPr="009B4473">
              <w:rPr>
                <w:rFonts w:ascii="Times New Roman" w:eastAsia="Calibri" w:hAnsi="Times New Roman" w:cs="Times New Roman"/>
                <w:bCs/>
                <w:i/>
                <w:color w:val="000000"/>
                <w:lang w:eastAsia="uk-UA"/>
              </w:rPr>
              <w:t>відповідний</w:t>
            </w:r>
            <w:proofErr w:type="spellEnd"/>
            <w:r w:rsidR="009B4473" w:rsidRPr="009B4473">
              <w:rPr>
                <w:rFonts w:ascii="Times New Roman" w:eastAsia="Calibri" w:hAnsi="Times New Roman" w:cs="Times New Roman"/>
                <w:bCs/>
                <w:i/>
                <w:color w:val="000000"/>
                <w:lang w:eastAsia="uk-UA"/>
              </w:rPr>
              <w:t xml:space="preserve"> </w:t>
            </w:r>
            <w:proofErr w:type="spellStart"/>
            <w:r w:rsidR="009B4473" w:rsidRPr="009B4473">
              <w:rPr>
                <w:rFonts w:ascii="Times New Roman" w:eastAsia="Calibri" w:hAnsi="Times New Roman" w:cs="Times New Roman"/>
                <w:bCs/>
                <w:i/>
                <w:color w:val="000000"/>
                <w:lang w:eastAsia="uk-UA"/>
              </w:rPr>
              <w:t>рахунок</w:t>
            </w:r>
            <w:proofErr w:type="spellEnd"/>
            <w:r w:rsidR="009B4473" w:rsidRPr="009B4473">
              <w:rPr>
                <w:rFonts w:ascii="Times New Roman" w:eastAsia="Calibri" w:hAnsi="Times New Roman" w:cs="Times New Roman"/>
                <w:bCs/>
                <w:i/>
                <w:color w:val="000000"/>
                <w:lang w:eastAsia="uk-UA"/>
              </w:rPr>
              <w:t xml:space="preserve"> оператора </w:t>
            </w:r>
            <w:proofErr w:type="spellStart"/>
            <w:r w:rsidR="009B4473" w:rsidRPr="009B4473">
              <w:rPr>
                <w:rFonts w:ascii="Times New Roman" w:eastAsia="Calibri" w:hAnsi="Times New Roman" w:cs="Times New Roman"/>
                <w:bCs/>
                <w:i/>
                <w:color w:val="000000"/>
                <w:lang w:eastAsia="uk-UA"/>
              </w:rPr>
              <w:t>електронного</w:t>
            </w:r>
            <w:proofErr w:type="spellEnd"/>
            <w:r w:rsidR="009B4473" w:rsidRPr="009B4473">
              <w:rPr>
                <w:rFonts w:ascii="Times New Roman" w:eastAsia="Calibri" w:hAnsi="Times New Roman" w:cs="Times New Roman"/>
                <w:bCs/>
                <w:i/>
                <w:color w:val="000000"/>
                <w:lang w:eastAsia="uk-UA"/>
              </w:rPr>
              <w:t xml:space="preserve"> </w:t>
            </w:r>
            <w:proofErr w:type="spellStart"/>
            <w:r w:rsidR="009B4473" w:rsidRPr="009B4473">
              <w:rPr>
                <w:rFonts w:ascii="Times New Roman" w:eastAsia="Calibri" w:hAnsi="Times New Roman" w:cs="Times New Roman"/>
                <w:bCs/>
                <w:i/>
                <w:color w:val="000000"/>
                <w:lang w:eastAsia="uk-UA"/>
              </w:rPr>
              <w:t>майданчика</w:t>
            </w:r>
            <w:proofErr w:type="spellEnd"/>
            <w:r w:rsidR="009B4473" w:rsidRPr="009B4473">
              <w:rPr>
                <w:rFonts w:ascii="Times New Roman" w:eastAsia="Calibri" w:hAnsi="Times New Roman" w:cs="Times New Roman"/>
                <w:bCs/>
                <w:i/>
                <w:color w:val="000000"/>
                <w:lang w:eastAsia="uk-UA"/>
              </w:rPr>
              <w:t xml:space="preserve"> за </w:t>
            </w:r>
            <w:proofErr w:type="spellStart"/>
            <w:r w:rsidR="009B4473" w:rsidRPr="009B4473">
              <w:rPr>
                <w:rFonts w:ascii="Times New Roman" w:eastAsia="Calibri" w:hAnsi="Times New Roman" w:cs="Times New Roman"/>
                <w:bCs/>
                <w:i/>
                <w:color w:val="000000"/>
                <w:lang w:eastAsia="uk-UA"/>
              </w:rPr>
              <w:t>реєстр</w:t>
            </w:r>
            <w:r w:rsidR="009B4473">
              <w:rPr>
                <w:rFonts w:ascii="Times New Roman" w:eastAsia="Calibri" w:hAnsi="Times New Roman" w:cs="Times New Roman"/>
                <w:bCs/>
                <w:i/>
                <w:color w:val="000000"/>
                <w:lang w:eastAsia="uk-UA"/>
              </w:rPr>
              <w:t>ацію</w:t>
            </w:r>
            <w:proofErr w:type="spellEnd"/>
            <w:r w:rsidR="009B4473">
              <w:rPr>
                <w:rFonts w:ascii="Times New Roman" w:eastAsia="Calibri" w:hAnsi="Times New Roman" w:cs="Times New Roman"/>
                <w:bCs/>
                <w:i/>
                <w:color w:val="000000"/>
                <w:lang w:eastAsia="uk-UA"/>
              </w:rPr>
              <w:t xml:space="preserve"> заяви на участь в </w:t>
            </w:r>
            <w:proofErr w:type="spellStart"/>
            <w:r w:rsidR="009B4473">
              <w:rPr>
                <w:rFonts w:ascii="Times New Roman" w:eastAsia="Calibri" w:hAnsi="Times New Roman" w:cs="Times New Roman"/>
                <w:bCs/>
                <w:i/>
                <w:color w:val="000000"/>
                <w:lang w:eastAsia="uk-UA"/>
              </w:rPr>
              <w:t>аукціоні</w:t>
            </w:r>
            <w:proofErr w:type="spellEnd"/>
          </w:p>
          <w:p w:rsidR="009B4473" w:rsidRDefault="009B4473" w:rsidP="00F36456">
            <w:pPr>
              <w:spacing w:after="0"/>
              <w:rPr>
                <w:rFonts w:ascii="Times New Roman" w:eastAsia="Calibri" w:hAnsi="Times New Roman" w:cs="Times New Roman"/>
                <w:bCs/>
                <w:i/>
                <w:color w:val="000000"/>
                <w:lang w:val="uk-UA" w:eastAsia="uk-UA"/>
              </w:rPr>
            </w:pPr>
          </w:p>
          <w:p w:rsidR="009B4473" w:rsidRPr="009B4473" w:rsidRDefault="009B4473" w:rsidP="00F36456">
            <w:pPr>
              <w:spacing w:after="0"/>
              <w:rPr>
                <w:rFonts w:ascii="Times New Roman" w:eastAsia="Calibri" w:hAnsi="Times New Roman" w:cs="Times New Roman"/>
                <w:bCs/>
                <w:i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lang w:val="uk-UA" w:eastAsia="uk-UA"/>
              </w:rPr>
              <w:t>винагорода оператору 5% (новий орендар) або 3 % (чинний орендар) від річної орендної плати</w:t>
            </w:r>
          </w:p>
          <w:p w:rsidR="00377890" w:rsidRPr="00B249FD" w:rsidRDefault="00377890" w:rsidP="00F36456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</w:pPr>
          </w:p>
        </w:tc>
        <w:tc>
          <w:tcPr>
            <w:tcW w:w="1842" w:type="dxa"/>
            <w:shd w:val="clear" w:color="auto" w:fill="auto"/>
          </w:tcPr>
          <w:p w:rsidR="00F929B4" w:rsidRDefault="00736B2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1624,35</w:t>
            </w:r>
            <w:r w:rsidR="003F6634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 xml:space="preserve"> </w:t>
            </w:r>
            <w:r w:rsidR="00012F25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грн.</w:t>
            </w:r>
          </w:p>
          <w:p w:rsidR="00F929B4" w:rsidRDefault="00F929B4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  <w:p w:rsidR="00B249FD" w:rsidRDefault="00F929B4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0,1*6000,00</w:t>
            </w:r>
            <w:r w:rsidR="00281217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*</w:t>
            </w:r>
            <w:r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=600,00 грн.</w:t>
            </w:r>
          </w:p>
          <w:p w:rsidR="009E2061" w:rsidRDefault="009E2061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  <w:p w:rsidR="009E2061" w:rsidRDefault="009E2061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  <w:p w:rsidR="009E2061" w:rsidRDefault="009E2061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  <w:p w:rsidR="009E2061" w:rsidRDefault="00736B2D" w:rsidP="009E2061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20487,80</w:t>
            </w:r>
            <w:r w:rsidR="009E2061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*5%=</w:t>
            </w:r>
          </w:p>
          <w:p w:rsidR="009E2061" w:rsidRPr="00B249FD" w:rsidRDefault="009E2061" w:rsidP="00736B2D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=</w:t>
            </w:r>
            <w:r w:rsidR="00736B2D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1024,35</w:t>
            </w:r>
            <w:r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 xml:space="preserve"> грн.</w:t>
            </w:r>
          </w:p>
        </w:tc>
        <w:tc>
          <w:tcPr>
            <w:tcW w:w="1702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0</w:t>
            </w:r>
          </w:p>
        </w:tc>
        <w:tc>
          <w:tcPr>
            <w:tcW w:w="1417" w:type="dxa"/>
          </w:tcPr>
          <w:p w:rsidR="00B249FD" w:rsidRPr="00B249FD" w:rsidRDefault="005319B8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1624,35</w:t>
            </w:r>
            <w:r w:rsidR="00012F25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 xml:space="preserve"> грн.</w:t>
            </w:r>
          </w:p>
        </w:tc>
      </w:tr>
      <w:tr w:rsidR="00B249FD" w:rsidRPr="00B249FD" w:rsidTr="008D5DEC">
        <w:trPr>
          <w:trHeight w:val="465"/>
        </w:trPr>
        <w:tc>
          <w:tcPr>
            <w:tcW w:w="560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hAnsi="Times New Roman" w:cs="Times New Roman"/>
                <w:bCs/>
                <w:lang w:val="uk-UA" w:eastAsia="uk-UA"/>
              </w:rPr>
            </w:pPr>
            <w:r w:rsidRPr="00B249FD">
              <w:rPr>
                <w:rFonts w:ascii="Times New Roman" w:hAnsi="Times New Roman" w:cs="Times New Roman"/>
                <w:bCs/>
                <w:lang w:val="uk-UA" w:eastAsia="uk-UA"/>
              </w:rPr>
              <w:t>11</w:t>
            </w:r>
          </w:p>
        </w:tc>
        <w:tc>
          <w:tcPr>
            <w:tcW w:w="3943" w:type="dxa"/>
            <w:shd w:val="clear" w:color="auto" w:fill="auto"/>
          </w:tcPr>
          <w:p w:rsidR="00B249FD" w:rsidRPr="00B249FD" w:rsidRDefault="00B249FD" w:rsidP="00F36456">
            <w:pPr>
              <w:spacing w:after="0"/>
              <w:rPr>
                <w:rFonts w:ascii="Times New Roman" w:eastAsia="Calibri" w:hAnsi="Times New Roman" w:cs="Times New Roman"/>
                <w:bCs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bCs/>
                <w:lang w:val="uk-UA" w:eastAsia="uk-UA"/>
              </w:rPr>
              <w:t>Процедури офіційного звітування</w:t>
            </w:r>
          </w:p>
        </w:tc>
        <w:tc>
          <w:tcPr>
            <w:tcW w:w="1842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lang w:val="uk-UA" w:eastAsia="uk-UA"/>
              </w:rPr>
              <w:t>0</w:t>
            </w:r>
          </w:p>
        </w:tc>
        <w:tc>
          <w:tcPr>
            <w:tcW w:w="1702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lang w:val="uk-UA" w:eastAsia="uk-UA"/>
              </w:rPr>
              <w:t>0</w:t>
            </w:r>
          </w:p>
        </w:tc>
        <w:tc>
          <w:tcPr>
            <w:tcW w:w="1417" w:type="dxa"/>
          </w:tcPr>
          <w:p w:rsidR="00B249FD" w:rsidRPr="00B249FD" w:rsidRDefault="00B249FD" w:rsidP="008D5DEC">
            <w:pPr>
              <w:jc w:val="center"/>
              <w:rPr>
                <w:rFonts w:ascii="Times New Roman" w:eastAsia="Calibri" w:hAnsi="Times New Roman" w:cs="Times New Roman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lang w:val="uk-UA" w:eastAsia="uk-UA"/>
              </w:rPr>
              <w:t>0</w:t>
            </w:r>
          </w:p>
        </w:tc>
      </w:tr>
      <w:tr w:rsidR="00B249FD" w:rsidRPr="00B249FD" w:rsidTr="008D5DEC">
        <w:trPr>
          <w:trHeight w:val="465"/>
        </w:trPr>
        <w:tc>
          <w:tcPr>
            <w:tcW w:w="560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hAnsi="Times New Roman" w:cs="Times New Roman"/>
                <w:bCs/>
                <w:lang w:val="uk-UA" w:eastAsia="uk-UA"/>
              </w:rPr>
            </w:pPr>
            <w:r w:rsidRPr="00B249FD">
              <w:rPr>
                <w:rFonts w:ascii="Times New Roman" w:hAnsi="Times New Roman" w:cs="Times New Roman"/>
                <w:bCs/>
                <w:lang w:val="uk-UA" w:eastAsia="uk-UA"/>
              </w:rPr>
              <w:t>12</w:t>
            </w:r>
          </w:p>
        </w:tc>
        <w:tc>
          <w:tcPr>
            <w:tcW w:w="3943" w:type="dxa"/>
            <w:shd w:val="clear" w:color="auto" w:fill="auto"/>
          </w:tcPr>
          <w:p w:rsidR="00B249FD" w:rsidRDefault="00B249FD" w:rsidP="00F36456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  <w:t>Процедури щодо забезпечення процесу перевірок</w:t>
            </w:r>
          </w:p>
          <w:p w:rsidR="00DA39EB" w:rsidRPr="00DA39EB" w:rsidRDefault="00DA39EB" w:rsidP="00F36456">
            <w:pPr>
              <w:spacing w:after="0"/>
              <w:rPr>
                <w:rFonts w:ascii="Times New Roman" w:eastAsia="Calibri" w:hAnsi="Times New Roman" w:cs="Times New Roman"/>
                <w:bCs/>
                <w:i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lang w:val="uk-UA" w:eastAsia="uk-UA"/>
              </w:rPr>
              <w:t>присутність орендаря при комплексному контролі за виконанням умов договору</w:t>
            </w:r>
          </w:p>
        </w:tc>
        <w:tc>
          <w:tcPr>
            <w:tcW w:w="1842" w:type="dxa"/>
            <w:shd w:val="clear" w:color="auto" w:fill="auto"/>
          </w:tcPr>
          <w:p w:rsidR="00B249FD" w:rsidRDefault="00B2275E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62,50</w:t>
            </w:r>
          </w:p>
          <w:p w:rsidR="00DA39EB" w:rsidRDefault="00DA39EB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  <w:p w:rsidR="00DA39EB" w:rsidRPr="00B249FD" w:rsidRDefault="00DA39EB" w:rsidP="00B2275E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2 год.*</w:t>
            </w:r>
            <w:r w:rsidR="00B2275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 xml:space="preserve"> раз на рік</w:t>
            </w:r>
            <w:r w:rsidR="0056048C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*31,25 грн.=</w:t>
            </w:r>
            <w:r w:rsidR="00B2275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62,50</w:t>
            </w:r>
          </w:p>
        </w:tc>
        <w:tc>
          <w:tcPr>
            <w:tcW w:w="1702" w:type="dxa"/>
            <w:shd w:val="clear" w:color="auto" w:fill="auto"/>
          </w:tcPr>
          <w:p w:rsidR="00B249FD" w:rsidRPr="00B249FD" w:rsidRDefault="00B2275E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62,50</w:t>
            </w:r>
            <w:r w:rsidR="00C828AA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1417" w:type="dxa"/>
          </w:tcPr>
          <w:p w:rsidR="00B249FD" w:rsidRPr="00B249FD" w:rsidRDefault="00B2275E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312,50</w:t>
            </w:r>
          </w:p>
        </w:tc>
      </w:tr>
      <w:tr w:rsidR="00B249FD" w:rsidRPr="00B249FD" w:rsidTr="008D5DEC">
        <w:trPr>
          <w:trHeight w:val="209"/>
        </w:trPr>
        <w:tc>
          <w:tcPr>
            <w:tcW w:w="560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hAnsi="Times New Roman" w:cs="Times New Roman"/>
                <w:bCs/>
                <w:lang w:val="uk-UA" w:eastAsia="uk-UA"/>
              </w:rPr>
            </w:pPr>
            <w:r w:rsidRPr="00B249FD">
              <w:rPr>
                <w:rFonts w:ascii="Times New Roman" w:hAnsi="Times New Roman" w:cs="Times New Roman"/>
                <w:bCs/>
                <w:lang w:val="uk-UA" w:eastAsia="uk-UA"/>
              </w:rPr>
              <w:t>13</w:t>
            </w:r>
          </w:p>
        </w:tc>
        <w:tc>
          <w:tcPr>
            <w:tcW w:w="3943" w:type="dxa"/>
            <w:shd w:val="clear" w:color="auto" w:fill="auto"/>
          </w:tcPr>
          <w:p w:rsidR="00B249FD" w:rsidRPr="00B249FD" w:rsidRDefault="00B249FD" w:rsidP="00F36456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  <w:t xml:space="preserve">Інші процедури (уточнити):  </w:t>
            </w:r>
          </w:p>
        </w:tc>
        <w:tc>
          <w:tcPr>
            <w:tcW w:w="1842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0</w:t>
            </w:r>
          </w:p>
        </w:tc>
        <w:tc>
          <w:tcPr>
            <w:tcW w:w="1702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0</w:t>
            </w:r>
          </w:p>
        </w:tc>
        <w:tc>
          <w:tcPr>
            <w:tcW w:w="1417" w:type="dxa"/>
          </w:tcPr>
          <w:p w:rsidR="00B249FD" w:rsidRPr="00B249FD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0</w:t>
            </w:r>
          </w:p>
        </w:tc>
      </w:tr>
      <w:tr w:rsidR="00B249FD" w:rsidRPr="00B249FD" w:rsidTr="008D5DEC">
        <w:trPr>
          <w:trHeight w:val="600"/>
        </w:trPr>
        <w:tc>
          <w:tcPr>
            <w:tcW w:w="560" w:type="dxa"/>
            <w:shd w:val="clear" w:color="auto" w:fill="auto"/>
          </w:tcPr>
          <w:p w:rsidR="00B249FD" w:rsidRPr="00B249FD" w:rsidRDefault="00B249FD" w:rsidP="008D5DEC">
            <w:pPr>
              <w:rPr>
                <w:rFonts w:ascii="Times New Roman" w:hAnsi="Times New Roman" w:cs="Times New Roman"/>
                <w:bCs/>
                <w:lang w:val="uk-UA" w:eastAsia="uk-UA"/>
              </w:rPr>
            </w:pPr>
            <w:r w:rsidRPr="00B249FD">
              <w:rPr>
                <w:rFonts w:ascii="Times New Roman" w:hAnsi="Times New Roman" w:cs="Times New Roman"/>
                <w:bCs/>
                <w:lang w:val="uk-UA" w:eastAsia="uk-UA"/>
              </w:rPr>
              <w:t>14</w:t>
            </w:r>
          </w:p>
        </w:tc>
        <w:tc>
          <w:tcPr>
            <w:tcW w:w="3943" w:type="dxa"/>
            <w:shd w:val="clear" w:color="auto" w:fill="auto"/>
          </w:tcPr>
          <w:p w:rsidR="00B249FD" w:rsidRPr="00B249FD" w:rsidRDefault="00B249FD" w:rsidP="00F36456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  <w:t>Разом, гривень (сума рядків 9 + 10 + 11 + 12 + 13)</w:t>
            </w:r>
          </w:p>
        </w:tc>
        <w:tc>
          <w:tcPr>
            <w:tcW w:w="1842" w:type="dxa"/>
            <w:shd w:val="clear" w:color="auto" w:fill="auto"/>
          </w:tcPr>
          <w:p w:rsidR="00B249FD" w:rsidRPr="00B249FD" w:rsidRDefault="00E969EE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1749,35</w:t>
            </w:r>
          </w:p>
        </w:tc>
        <w:tc>
          <w:tcPr>
            <w:tcW w:w="1702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Х</w:t>
            </w:r>
          </w:p>
        </w:tc>
        <w:tc>
          <w:tcPr>
            <w:tcW w:w="1417" w:type="dxa"/>
          </w:tcPr>
          <w:p w:rsidR="00B249FD" w:rsidRPr="00B249FD" w:rsidRDefault="00E969EE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1999,35</w:t>
            </w:r>
          </w:p>
        </w:tc>
      </w:tr>
      <w:tr w:rsidR="00B249FD" w:rsidRPr="00B249FD" w:rsidTr="008D5DEC">
        <w:trPr>
          <w:trHeight w:val="600"/>
        </w:trPr>
        <w:tc>
          <w:tcPr>
            <w:tcW w:w="560" w:type="dxa"/>
            <w:shd w:val="clear" w:color="auto" w:fill="auto"/>
          </w:tcPr>
          <w:p w:rsidR="00B249FD" w:rsidRPr="00B249FD" w:rsidRDefault="00B249FD" w:rsidP="008D5DEC">
            <w:pPr>
              <w:rPr>
                <w:rFonts w:ascii="Times New Roman" w:hAnsi="Times New Roman" w:cs="Times New Roman"/>
                <w:bCs/>
                <w:lang w:val="uk-UA" w:eastAsia="uk-UA"/>
              </w:rPr>
            </w:pPr>
            <w:r w:rsidRPr="00B249FD">
              <w:rPr>
                <w:rFonts w:ascii="Times New Roman" w:hAnsi="Times New Roman" w:cs="Times New Roman"/>
                <w:bCs/>
                <w:lang w:val="uk-UA" w:eastAsia="uk-UA"/>
              </w:rPr>
              <w:t>15</w:t>
            </w:r>
          </w:p>
        </w:tc>
        <w:tc>
          <w:tcPr>
            <w:tcW w:w="3943" w:type="dxa"/>
            <w:shd w:val="clear" w:color="auto" w:fill="auto"/>
          </w:tcPr>
          <w:p w:rsidR="00B249FD" w:rsidRPr="00B249FD" w:rsidRDefault="00B249FD" w:rsidP="00F36456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  <w:t>Кількість суб’єктів малого підприємництва, що повинні виконати вимоги регулювання, одиниць</w:t>
            </w:r>
          </w:p>
        </w:tc>
        <w:tc>
          <w:tcPr>
            <w:tcW w:w="4961" w:type="dxa"/>
            <w:gridSpan w:val="3"/>
            <w:shd w:val="clear" w:color="auto" w:fill="auto"/>
          </w:tcPr>
          <w:p w:rsidR="00E969EE" w:rsidRPr="00B249FD" w:rsidRDefault="00E969EE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41</w:t>
            </w:r>
          </w:p>
        </w:tc>
      </w:tr>
      <w:tr w:rsidR="00B249FD" w:rsidRPr="00B249FD" w:rsidTr="008D5DEC">
        <w:trPr>
          <w:trHeight w:val="600"/>
        </w:trPr>
        <w:tc>
          <w:tcPr>
            <w:tcW w:w="560" w:type="dxa"/>
            <w:shd w:val="clear" w:color="auto" w:fill="auto"/>
          </w:tcPr>
          <w:p w:rsidR="00B249FD" w:rsidRPr="00B249FD" w:rsidRDefault="00B249FD" w:rsidP="008D5DEC">
            <w:pPr>
              <w:rPr>
                <w:rFonts w:ascii="Times New Roman" w:hAnsi="Times New Roman" w:cs="Times New Roman"/>
                <w:bCs/>
                <w:lang w:val="uk-UA" w:eastAsia="uk-UA"/>
              </w:rPr>
            </w:pPr>
            <w:r w:rsidRPr="00B249FD">
              <w:rPr>
                <w:rFonts w:ascii="Times New Roman" w:hAnsi="Times New Roman" w:cs="Times New Roman"/>
                <w:bCs/>
                <w:lang w:val="uk-UA" w:eastAsia="uk-UA"/>
              </w:rPr>
              <w:t>16</w:t>
            </w:r>
          </w:p>
        </w:tc>
        <w:tc>
          <w:tcPr>
            <w:tcW w:w="3943" w:type="dxa"/>
            <w:shd w:val="clear" w:color="auto" w:fill="auto"/>
          </w:tcPr>
          <w:p w:rsidR="00B249FD" w:rsidRPr="00B249FD" w:rsidRDefault="00B249FD" w:rsidP="00F36456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bCs/>
                <w:color w:val="000000"/>
                <w:lang w:val="uk-UA" w:eastAsia="uk-UA"/>
              </w:rPr>
              <w:t>Сумарно, гривень відповідний стовпчик «разом» Х кількість суб’єктів малого підприємництва, що повинні виконати вимоги регулювання (рядок 14 Х рядок 15)</w:t>
            </w:r>
          </w:p>
        </w:tc>
        <w:tc>
          <w:tcPr>
            <w:tcW w:w="1842" w:type="dxa"/>
            <w:shd w:val="clear" w:color="auto" w:fill="auto"/>
          </w:tcPr>
          <w:p w:rsidR="00B249FD" w:rsidRPr="00B249FD" w:rsidRDefault="00E969EE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71723,35</w:t>
            </w:r>
          </w:p>
        </w:tc>
        <w:tc>
          <w:tcPr>
            <w:tcW w:w="1702" w:type="dxa"/>
            <w:shd w:val="clear" w:color="auto" w:fill="auto"/>
          </w:tcPr>
          <w:p w:rsidR="00B249FD" w:rsidRPr="00B249FD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B249FD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Х</w:t>
            </w:r>
          </w:p>
        </w:tc>
        <w:tc>
          <w:tcPr>
            <w:tcW w:w="1417" w:type="dxa"/>
          </w:tcPr>
          <w:p w:rsidR="00B249FD" w:rsidRPr="00B249FD" w:rsidRDefault="00E969EE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81973,35</w:t>
            </w:r>
          </w:p>
        </w:tc>
      </w:tr>
    </w:tbl>
    <w:p w:rsidR="009C650D" w:rsidRDefault="00963089" w:rsidP="009C65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96308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Відповідно до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Закону України «Про Державний бюджет на 2021 рік» мінімальна заробітна плата з 01 січня 2021 року становить 6000,00 грн.</w:t>
      </w:r>
    </w:p>
    <w:p w:rsidR="00963089" w:rsidRPr="00963089" w:rsidRDefault="00963089" w:rsidP="009C65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B249FD" w:rsidRPr="00DC3BBC" w:rsidRDefault="00B249FD" w:rsidP="00DC3BBC">
      <w:pPr>
        <w:shd w:val="clear" w:color="auto" w:fill="FFFFFF"/>
        <w:tabs>
          <w:tab w:val="left" w:pos="9639"/>
        </w:tabs>
        <w:spacing w:after="120"/>
        <w:ind w:left="450" w:right="710"/>
        <w:jc w:val="center"/>
        <w:textAlignment w:val="baseline"/>
        <w:rPr>
          <w:rFonts w:ascii="Times New Roman" w:hAnsi="Times New Roman" w:cs="Times New Roman"/>
          <w:b/>
          <w:color w:val="000000"/>
          <w:sz w:val="24"/>
          <w:lang w:val="uk-UA" w:eastAsia="uk-UA"/>
        </w:rPr>
      </w:pPr>
      <w:r w:rsidRPr="00DC3BBC">
        <w:rPr>
          <w:rFonts w:ascii="Times New Roman" w:hAnsi="Times New Roman" w:cs="Times New Roman"/>
          <w:b/>
          <w:color w:val="000000"/>
          <w:sz w:val="24"/>
          <w:lang w:val="uk-UA" w:eastAsia="uk-UA"/>
        </w:rPr>
        <w:t>Бюджетні витрати на адміністрування регулювання суб’єктів малого підприємництва</w:t>
      </w:r>
    </w:p>
    <w:p w:rsidR="00B249FD" w:rsidRPr="00DC3BBC" w:rsidRDefault="00DC3BBC" w:rsidP="00B249FD">
      <w:pPr>
        <w:pStyle w:val="21"/>
        <w:shd w:val="clear" w:color="auto" w:fill="auto"/>
        <w:ind w:right="-1" w:firstLine="820"/>
        <w:rPr>
          <w:rFonts w:ascii="Times New Roman" w:hAnsi="Times New Roman" w:cs="Times New Roman"/>
          <w:sz w:val="24"/>
          <w:lang w:val="uk-UA"/>
        </w:rPr>
      </w:pPr>
      <w:bookmarkStart w:id="1" w:name="n209"/>
      <w:bookmarkStart w:id="2" w:name="n210"/>
      <w:bookmarkEnd w:id="1"/>
      <w:bookmarkEnd w:id="2"/>
      <w:r>
        <w:rPr>
          <w:rFonts w:ascii="Times New Roman" w:hAnsi="Times New Roman" w:cs="Times New Roman"/>
          <w:sz w:val="24"/>
          <w:lang w:val="uk-UA"/>
        </w:rPr>
        <w:t xml:space="preserve">Бюджетні витрати на адміністрування регулювання суб’єктів малого підприємництва </w:t>
      </w:r>
      <w:r w:rsidR="00F7108F">
        <w:rPr>
          <w:rFonts w:ascii="Times New Roman" w:hAnsi="Times New Roman" w:cs="Times New Roman"/>
          <w:sz w:val="24"/>
          <w:lang w:val="uk-UA"/>
        </w:rPr>
        <w:t xml:space="preserve">окремо </w:t>
      </w:r>
      <w:r>
        <w:rPr>
          <w:rFonts w:ascii="Times New Roman" w:hAnsi="Times New Roman" w:cs="Times New Roman"/>
          <w:sz w:val="24"/>
          <w:lang w:val="uk-UA"/>
        </w:rPr>
        <w:t>не передбачені.</w:t>
      </w:r>
      <w:r w:rsidR="00B249FD" w:rsidRPr="00DC3BBC">
        <w:rPr>
          <w:rFonts w:ascii="Times New Roman" w:hAnsi="Times New Roman" w:cs="Times New Roman"/>
          <w:sz w:val="24"/>
          <w:lang w:val="uk-UA"/>
        </w:rPr>
        <w:t xml:space="preserve"> Орган, який несе витрати пов’язані з розробкою регуляторного акту, контролем за його виконанням, проведенням аналізу та заходів по відстеженню результативності регуляторного акту - відділ економічного розвитку,  </w:t>
      </w:r>
      <w:r w:rsidR="00B249FD" w:rsidRPr="00DC3BBC">
        <w:rPr>
          <w:rFonts w:ascii="Times New Roman" w:hAnsi="Times New Roman" w:cs="Times New Roman"/>
          <w:sz w:val="24"/>
          <w:lang w:val="uk-UA"/>
        </w:rPr>
        <w:lastRenderedPageBreak/>
        <w:t>промисловості,  інфраструктури  та  торгівлі  виконавчого комітету  Знам’янської  міської ради.</w:t>
      </w:r>
    </w:p>
    <w:p w:rsidR="00B249FD" w:rsidRPr="00DC3BBC" w:rsidRDefault="00B249FD" w:rsidP="00B249FD">
      <w:pPr>
        <w:shd w:val="clear" w:color="auto" w:fill="FFFFFF"/>
        <w:tabs>
          <w:tab w:val="left" w:pos="9639"/>
        </w:tabs>
        <w:ind w:right="1"/>
        <w:jc w:val="center"/>
        <w:textAlignment w:val="baseline"/>
        <w:rPr>
          <w:color w:val="000000"/>
          <w:sz w:val="2"/>
          <w:szCs w:val="16"/>
          <w:lang w:val="uk-UA" w:eastAsia="uk-UA"/>
        </w:rPr>
      </w:pPr>
      <w:bookmarkStart w:id="3" w:name="n211"/>
      <w:bookmarkEnd w:id="3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1"/>
        <w:gridCol w:w="2452"/>
        <w:gridCol w:w="993"/>
        <w:gridCol w:w="1558"/>
        <w:gridCol w:w="1559"/>
        <w:gridCol w:w="1560"/>
        <w:gridCol w:w="1276"/>
      </w:tblGrid>
      <w:tr w:rsidR="00B249FD" w:rsidRPr="00B30D37" w:rsidTr="008D5DEC">
        <w:trPr>
          <w:trHeight w:val="1632"/>
        </w:trPr>
        <w:tc>
          <w:tcPr>
            <w:tcW w:w="491" w:type="dxa"/>
            <w:shd w:val="clear" w:color="auto" w:fill="auto"/>
            <w:noWrap/>
          </w:tcPr>
          <w:p w:rsidR="00B249FD" w:rsidRPr="00B30D37" w:rsidRDefault="00B249FD" w:rsidP="008D5DE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2452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Процедура регулювання суб’єктів малого підприємництва </w:t>
            </w:r>
          </w:p>
        </w:tc>
        <w:tc>
          <w:tcPr>
            <w:tcW w:w="993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Планові витрати часу на процедуру години</w:t>
            </w:r>
          </w:p>
        </w:tc>
        <w:tc>
          <w:tcPr>
            <w:tcW w:w="1558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Вартість часу співробітника держоргану відповідної категорії (заробітна плата)</w:t>
            </w:r>
          </w:p>
        </w:tc>
        <w:tc>
          <w:tcPr>
            <w:tcW w:w="1559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Оцінка кількості процедур за рік, що припадають на одного суб’єкта</w:t>
            </w:r>
          </w:p>
        </w:tc>
        <w:tc>
          <w:tcPr>
            <w:tcW w:w="1560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Оцінка кількості  </w:t>
            </w:r>
            <w:r w:rsidRPr="00B30D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br/>
              <w:t>суб’єктів, що підпадають під дію процедури регулювання</w:t>
            </w:r>
          </w:p>
        </w:tc>
        <w:tc>
          <w:tcPr>
            <w:tcW w:w="1276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Витрати на адміністрування регулювання* (за рік), гривень</w:t>
            </w:r>
          </w:p>
        </w:tc>
      </w:tr>
      <w:tr w:rsidR="00B249FD" w:rsidRPr="00B30D37" w:rsidTr="008D5DEC">
        <w:trPr>
          <w:trHeight w:val="510"/>
        </w:trPr>
        <w:tc>
          <w:tcPr>
            <w:tcW w:w="491" w:type="dxa"/>
            <w:shd w:val="clear" w:color="auto" w:fill="auto"/>
            <w:noWrap/>
          </w:tcPr>
          <w:p w:rsidR="00B249FD" w:rsidRPr="00B30D37" w:rsidRDefault="00B249FD" w:rsidP="008D5D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452" w:type="dxa"/>
            <w:shd w:val="clear" w:color="auto" w:fill="auto"/>
          </w:tcPr>
          <w:p w:rsidR="00B249FD" w:rsidRPr="00B30D37" w:rsidRDefault="00B249FD" w:rsidP="00177A59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Облік суб’єкта господарювання, що перебуває у сфері регулювання</w:t>
            </w:r>
          </w:p>
        </w:tc>
        <w:tc>
          <w:tcPr>
            <w:tcW w:w="993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58" w:type="dxa"/>
            <w:shd w:val="clear" w:color="auto" w:fill="auto"/>
            <w:noWrap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</w:tr>
      <w:tr w:rsidR="00B249FD" w:rsidRPr="00B30D37" w:rsidTr="008D5DEC">
        <w:trPr>
          <w:trHeight w:val="765"/>
        </w:trPr>
        <w:tc>
          <w:tcPr>
            <w:tcW w:w="491" w:type="dxa"/>
            <w:shd w:val="clear" w:color="auto" w:fill="auto"/>
            <w:noWrap/>
          </w:tcPr>
          <w:p w:rsidR="00B249FD" w:rsidRPr="00B30D37" w:rsidRDefault="00B249FD" w:rsidP="008D5D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452" w:type="dxa"/>
            <w:shd w:val="clear" w:color="auto" w:fill="auto"/>
          </w:tcPr>
          <w:p w:rsidR="00B249FD" w:rsidRPr="00B30D37" w:rsidRDefault="00B249FD" w:rsidP="002D44B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Поточний контроль за суб’єктом господарювання, що перебуває у сфері регулювання, у тому числі:</w:t>
            </w:r>
          </w:p>
        </w:tc>
        <w:tc>
          <w:tcPr>
            <w:tcW w:w="993" w:type="dxa"/>
            <w:shd w:val="clear" w:color="auto" w:fill="auto"/>
          </w:tcPr>
          <w:p w:rsidR="00B249FD" w:rsidRPr="00B30D37" w:rsidRDefault="00D257DE" w:rsidP="008D5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558" w:type="dxa"/>
            <w:shd w:val="clear" w:color="auto" w:fill="auto"/>
          </w:tcPr>
          <w:p w:rsidR="00B249FD" w:rsidRPr="00B30D37" w:rsidRDefault="00BE768F" w:rsidP="008D5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83,15</w:t>
            </w:r>
          </w:p>
        </w:tc>
        <w:tc>
          <w:tcPr>
            <w:tcW w:w="1559" w:type="dxa"/>
            <w:shd w:val="clear" w:color="auto" w:fill="auto"/>
          </w:tcPr>
          <w:p w:rsidR="00B249FD" w:rsidRPr="00B30D37" w:rsidRDefault="00D257DE" w:rsidP="008D5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B249FD" w:rsidRPr="00B30D37" w:rsidRDefault="00BE768F" w:rsidP="008D5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41</w:t>
            </w:r>
          </w:p>
        </w:tc>
        <w:tc>
          <w:tcPr>
            <w:tcW w:w="1276" w:type="dxa"/>
            <w:shd w:val="clear" w:color="auto" w:fill="auto"/>
          </w:tcPr>
          <w:p w:rsidR="00B249FD" w:rsidRPr="00B30D37" w:rsidRDefault="00D257DE" w:rsidP="008D5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13636,60</w:t>
            </w:r>
          </w:p>
        </w:tc>
      </w:tr>
      <w:tr w:rsidR="00B249FD" w:rsidRPr="00B30D37" w:rsidTr="008D5DEC">
        <w:trPr>
          <w:trHeight w:val="300"/>
        </w:trPr>
        <w:tc>
          <w:tcPr>
            <w:tcW w:w="491" w:type="dxa"/>
            <w:shd w:val="clear" w:color="auto" w:fill="auto"/>
            <w:noWrap/>
          </w:tcPr>
          <w:p w:rsidR="00B249FD" w:rsidRPr="00B30D37" w:rsidRDefault="00B249FD" w:rsidP="008D5D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2.1</w:t>
            </w:r>
          </w:p>
        </w:tc>
        <w:tc>
          <w:tcPr>
            <w:tcW w:w="2452" w:type="dxa"/>
            <w:shd w:val="clear" w:color="auto" w:fill="auto"/>
          </w:tcPr>
          <w:p w:rsidR="00B249FD" w:rsidRDefault="00784147" w:rsidP="002D44B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</w:t>
            </w:r>
            <w:r w:rsidR="00B249FD"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амеральні</w:t>
            </w:r>
          </w:p>
          <w:p w:rsidR="00784147" w:rsidRPr="00784147" w:rsidRDefault="00784147" w:rsidP="002D44B6">
            <w:pPr>
              <w:spacing w:after="0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 w:eastAsia="uk-UA"/>
              </w:rPr>
              <w:t>документальний контроль за виконання умов договору оренди</w:t>
            </w:r>
          </w:p>
        </w:tc>
        <w:tc>
          <w:tcPr>
            <w:tcW w:w="993" w:type="dxa"/>
            <w:shd w:val="clear" w:color="auto" w:fill="auto"/>
          </w:tcPr>
          <w:p w:rsidR="00B249FD" w:rsidRPr="00B30D37" w:rsidRDefault="008116E6" w:rsidP="008D5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8" w:type="dxa"/>
            <w:shd w:val="clear" w:color="auto" w:fill="auto"/>
            <w:noWrap/>
          </w:tcPr>
          <w:p w:rsidR="00B249FD" w:rsidRPr="00B30D37" w:rsidRDefault="00FE17A4" w:rsidP="008D5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83,15</w:t>
            </w:r>
          </w:p>
        </w:tc>
        <w:tc>
          <w:tcPr>
            <w:tcW w:w="1559" w:type="dxa"/>
            <w:shd w:val="clear" w:color="auto" w:fill="auto"/>
          </w:tcPr>
          <w:p w:rsidR="00B249FD" w:rsidRPr="00B30D37" w:rsidRDefault="008116E6" w:rsidP="008D5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B249FD" w:rsidRPr="00B30D37" w:rsidRDefault="00784147" w:rsidP="008D5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41</w:t>
            </w:r>
          </w:p>
        </w:tc>
        <w:tc>
          <w:tcPr>
            <w:tcW w:w="1276" w:type="dxa"/>
            <w:shd w:val="clear" w:color="auto" w:fill="auto"/>
          </w:tcPr>
          <w:p w:rsidR="00B249FD" w:rsidRPr="00B30D37" w:rsidRDefault="008116E6" w:rsidP="008D5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6818,30</w:t>
            </w:r>
          </w:p>
        </w:tc>
      </w:tr>
      <w:tr w:rsidR="00B249FD" w:rsidRPr="00B30D37" w:rsidTr="008D5DEC">
        <w:trPr>
          <w:trHeight w:val="300"/>
        </w:trPr>
        <w:tc>
          <w:tcPr>
            <w:tcW w:w="491" w:type="dxa"/>
            <w:shd w:val="clear" w:color="auto" w:fill="auto"/>
            <w:noWrap/>
          </w:tcPr>
          <w:p w:rsidR="00B249FD" w:rsidRPr="00B30D37" w:rsidRDefault="00B249FD" w:rsidP="008D5D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2.2</w:t>
            </w:r>
          </w:p>
        </w:tc>
        <w:tc>
          <w:tcPr>
            <w:tcW w:w="2452" w:type="dxa"/>
            <w:shd w:val="clear" w:color="auto" w:fill="auto"/>
          </w:tcPr>
          <w:p w:rsidR="00B249FD" w:rsidRDefault="00D00F1A" w:rsidP="002D44B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</w:t>
            </w:r>
            <w:r w:rsidR="00B249FD"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иїзні</w:t>
            </w:r>
          </w:p>
          <w:p w:rsidR="00D00F1A" w:rsidRPr="00816751" w:rsidRDefault="00816751" w:rsidP="002D44B6">
            <w:pPr>
              <w:spacing w:after="0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 w:eastAsia="uk-UA"/>
              </w:rPr>
              <w:t>комплексний контроль за виконання умов договору оренди</w:t>
            </w:r>
          </w:p>
        </w:tc>
        <w:tc>
          <w:tcPr>
            <w:tcW w:w="993" w:type="dxa"/>
            <w:shd w:val="clear" w:color="auto" w:fill="auto"/>
          </w:tcPr>
          <w:p w:rsidR="00B249FD" w:rsidRPr="00B30D37" w:rsidRDefault="00D257DE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58" w:type="dxa"/>
            <w:shd w:val="clear" w:color="auto" w:fill="auto"/>
            <w:noWrap/>
          </w:tcPr>
          <w:p w:rsidR="00B249FD" w:rsidRPr="00B30D37" w:rsidRDefault="00FE17A4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83,15</w:t>
            </w:r>
          </w:p>
        </w:tc>
        <w:tc>
          <w:tcPr>
            <w:tcW w:w="1559" w:type="dxa"/>
            <w:shd w:val="clear" w:color="auto" w:fill="auto"/>
          </w:tcPr>
          <w:p w:rsidR="00B249FD" w:rsidRPr="00B30D37" w:rsidRDefault="00D257DE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B249FD" w:rsidRPr="00B30D37" w:rsidRDefault="00784147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41</w:t>
            </w:r>
          </w:p>
        </w:tc>
        <w:tc>
          <w:tcPr>
            <w:tcW w:w="1276" w:type="dxa"/>
            <w:shd w:val="clear" w:color="auto" w:fill="auto"/>
          </w:tcPr>
          <w:p w:rsidR="00B249FD" w:rsidRPr="00B30D37" w:rsidRDefault="00D257DE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6818,30</w:t>
            </w:r>
          </w:p>
        </w:tc>
      </w:tr>
      <w:tr w:rsidR="00B249FD" w:rsidRPr="00B30D37" w:rsidTr="008D5DEC">
        <w:trPr>
          <w:trHeight w:val="765"/>
        </w:trPr>
        <w:tc>
          <w:tcPr>
            <w:tcW w:w="491" w:type="dxa"/>
            <w:shd w:val="clear" w:color="auto" w:fill="auto"/>
            <w:noWrap/>
          </w:tcPr>
          <w:p w:rsidR="00B249FD" w:rsidRPr="00B30D37" w:rsidRDefault="00B249FD" w:rsidP="008D5D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452" w:type="dxa"/>
            <w:shd w:val="clear" w:color="auto" w:fill="auto"/>
          </w:tcPr>
          <w:p w:rsidR="00B249FD" w:rsidRPr="00B30D37" w:rsidRDefault="00B249FD" w:rsidP="002D44B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Підготовка, затвердження та опрацювання одного окремого акта про порушення вимог регулювання</w:t>
            </w:r>
          </w:p>
        </w:tc>
        <w:tc>
          <w:tcPr>
            <w:tcW w:w="993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</w:tr>
      <w:tr w:rsidR="00B249FD" w:rsidRPr="00B30D37" w:rsidTr="008D5DEC">
        <w:trPr>
          <w:trHeight w:val="510"/>
        </w:trPr>
        <w:tc>
          <w:tcPr>
            <w:tcW w:w="491" w:type="dxa"/>
            <w:shd w:val="clear" w:color="auto" w:fill="auto"/>
            <w:noWrap/>
          </w:tcPr>
          <w:p w:rsidR="00B249FD" w:rsidRPr="00B30D37" w:rsidRDefault="00B249FD" w:rsidP="008D5D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2452" w:type="dxa"/>
            <w:shd w:val="clear" w:color="auto" w:fill="auto"/>
          </w:tcPr>
          <w:p w:rsidR="00B249FD" w:rsidRPr="00B30D37" w:rsidRDefault="00B249FD" w:rsidP="002D44B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Реалізація одного окремого рішення щодо порушення вимог регулювання</w:t>
            </w:r>
          </w:p>
        </w:tc>
        <w:tc>
          <w:tcPr>
            <w:tcW w:w="993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</w:tr>
      <w:tr w:rsidR="00B249FD" w:rsidRPr="00B30D37" w:rsidTr="008D5DEC">
        <w:trPr>
          <w:trHeight w:val="510"/>
        </w:trPr>
        <w:tc>
          <w:tcPr>
            <w:tcW w:w="491" w:type="dxa"/>
            <w:shd w:val="clear" w:color="auto" w:fill="auto"/>
            <w:noWrap/>
          </w:tcPr>
          <w:p w:rsidR="00B249FD" w:rsidRPr="00B30D37" w:rsidRDefault="00B249FD" w:rsidP="008D5D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2452" w:type="dxa"/>
            <w:shd w:val="clear" w:color="auto" w:fill="auto"/>
          </w:tcPr>
          <w:p w:rsidR="00B249FD" w:rsidRPr="00B30D37" w:rsidRDefault="00B249FD" w:rsidP="002D44B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Оскарження одного окремого рішення суб’єктами господарювання</w:t>
            </w:r>
          </w:p>
        </w:tc>
        <w:tc>
          <w:tcPr>
            <w:tcW w:w="993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</w:tr>
      <w:tr w:rsidR="00B249FD" w:rsidRPr="00B30D37" w:rsidTr="008D5DEC">
        <w:trPr>
          <w:trHeight w:val="510"/>
        </w:trPr>
        <w:tc>
          <w:tcPr>
            <w:tcW w:w="491" w:type="dxa"/>
            <w:shd w:val="clear" w:color="auto" w:fill="auto"/>
            <w:noWrap/>
          </w:tcPr>
          <w:p w:rsidR="00B249FD" w:rsidRPr="00B30D37" w:rsidRDefault="00B249FD" w:rsidP="008D5D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lastRenderedPageBreak/>
              <w:t>6</w:t>
            </w:r>
          </w:p>
        </w:tc>
        <w:tc>
          <w:tcPr>
            <w:tcW w:w="2452" w:type="dxa"/>
            <w:shd w:val="clear" w:color="auto" w:fill="auto"/>
          </w:tcPr>
          <w:p w:rsidR="00B249FD" w:rsidRPr="00B30D37" w:rsidRDefault="00B249FD" w:rsidP="002D44B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Підготовка звітності за результатами регулювання</w:t>
            </w:r>
          </w:p>
        </w:tc>
        <w:tc>
          <w:tcPr>
            <w:tcW w:w="993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</w:tr>
      <w:tr w:rsidR="00B249FD" w:rsidRPr="00B30D37" w:rsidTr="008D5DEC">
        <w:trPr>
          <w:trHeight w:val="510"/>
        </w:trPr>
        <w:tc>
          <w:tcPr>
            <w:tcW w:w="491" w:type="dxa"/>
            <w:shd w:val="clear" w:color="auto" w:fill="auto"/>
            <w:noWrap/>
          </w:tcPr>
          <w:p w:rsidR="00B249FD" w:rsidRPr="00B30D37" w:rsidRDefault="00B249FD" w:rsidP="008D5D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2452" w:type="dxa"/>
            <w:shd w:val="clear" w:color="auto" w:fill="auto"/>
          </w:tcPr>
          <w:p w:rsidR="00C46396" w:rsidRDefault="00B249FD" w:rsidP="002D44B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Інші адміністративні процедури:   </w:t>
            </w:r>
          </w:p>
          <w:p w:rsidR="00B249FD" w:rsidRPr="00C46396" w:rsidRDefault="00B249FD" w:rsidP="002D44B6">
            <w:pPr>
              <w:spacing w:after="0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 w:eastAsia="uk-UA"/>
              </w:rPr>
            </w:pPr>
            <w:r w:rsidRPr="00C46396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 w:eastAsia="uk-UA"/>
              </w:rPr>
              <w:t>підготовка  регуляторного  акту</w:t>
            </w:r>
          </w:p>
          <w:p w:rsidR="00C46396" w:rsidRDefault="00C46396" w:rsidP="002D44B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DF1ED5" w:rsidRPr="00DF1ED5" w:rsidRDefault="00DF1ED5" w:rsidP="002D44B6">
            <w:pPr>
              <w:spacing w:after="0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 w:eastAsia="uk-UA"/>
              </w:rPr>
            </w:pPr>
            <w:r w:rsidRPr="00DF1ED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 w:eastAsia="uk-UA"/>
              </w:rPr>
              <w:t>проведення аукціону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 w:eastAsia="uk-UA"/>
              </w:rPr>
              <w:t xml:space="preserve"> працівниками орендодавця</w:t>
            </w:r>
          </w:p>
        </w:tc>
        <w:tc>
          <w:tcPr>
            <w:tcW w:w="993" w:type="dxa"/>
            <w:shd w:val="clear" w:color="auto" w:fill="auto"/>
          </w:tcPr>
          <w:p w:rsidR="00BE768F" w:rsidRDefault="00BE768F" w:rsidP="00BE768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B249FD" w:rsidRDefault="0011195E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16</w:t>
            </w:r>
          </w:p>
          <w:p w:rsidR="00DF1ED5" w:rsidRDefault="00DF1ED5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DF1ED5" w:rsidRPr="00B30D37" w:rsidRDefault="00DF1ED5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40</w:t>
            </w:r>
          </w:p>
        </w:tc>
        <w:tc>
          <w:tcPr>
            <w:tcW w:w="1558" w:type="dxa"/>
            <w:shd w:val="clear" w:color="auto" w:fill="auto"/>
          </w:tcPr>
          <w:p w:rsidR="00DF1ED5" w:rsidRDefault="00DF1ED5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B249FD" w:rsidRDefault="00F923A6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83,15</w:t>
            </w:r>
          </w:p>
          <w:p w:rsidR="00DF1ED5" w:rsidRDefault="00DF1ED5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DF1ED5" w:rsidRPr="00B30D37" w:rsidRDefault="00F923A6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83,15</w:t>
            </w:r>
          </w:p>
        </w:tc>
        <w:tc>
          <w:tcPr>
            <w:tcW w:w="1559" w:type="dxa"/>
            <w:shd w:val="clear" w:color="auto" w:fill="auto"/>
          </w:tcPr>
          <w:p w:rsidR="00DF1ED5" w:rsidRDefault="00DF1ED5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B249FD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  <w:p w:rsidR="00DF1ED5" w:rsidRDefault="00DF1ED5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DF1ED5" w:rsidRPr="00B30D37" w:rsidRDefault="00DF1ED5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DF1ED5" w:rsidRDefault="00DF1ED5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B249FD" w:rsidRDefault="006B28E7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41</w:t>
            </w:r>
          </w:p>
          <w:p w:rsidR="00DF1ED5" w:rsidRDefault="00DF1ED5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DF1ED5" w:rsidRPr="00B30D37" w:rsidRDefault="00DF1ED5" w:rsidP="00DF1ED5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23 </w:t>
            </w:r>
          </w:p>
        </w:tc>
        <w:tc>
          <w:tcPr>
            <w:tcW w:w="1276" w:type="dxa"/>
            <w:shd w:val="clear" w:color="auto" w:fill="auto"/>
          </w:tcPr>
          <w:p w:rsidR="00DF1ED5" w:rsidRDefault="00DF1ED5" w:rsidP="00F21691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B249FD" w:rsidRDefault="00F923A6" w:rsidP="00F21691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1330,40</w:t>
            </w:r>
          </w:p>
          <w:p w:rsidR="00DF1ED5" w:rsidRDefault="00DF1ED5" w:rsidP="00F21691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F923A6" w:rsidRPr="00B30D37" w:rsidRDefault="00F923A6" w:rsidP="00F21691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76498,00</w:t>
            </w:r>
          </w:p>
        </w:tc>
      </w:tr>
      <w:tr w:rsidR="00B249FD" w:rsidRPr="00B30D37" w:rsidTr="008D5DEC">
        <w:trPr>
          <w:trHeight w:val="300"/>
        </w:trPr>
        <w:tc>
          <w:tcPr>
            <w:tcW w:w="491" w:type="dxa"/>
            <w:shd w:val="clear" w:color="auto" w:fill="auto"/>
            <w:noWrap/>
          </w:tcPr>
          <w:p w:rsidR="00B249FD" w:rsidRPr="00B30D37" w:rsidRDefault="00B249FD" w:rsidP="008D5DE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2452" w:type="dxa"/>
            <w:shd w:val="clear" w:color="auto" w:fill="auto"/>
          </w:tcPr>
          <w:p w:rsidR="00B249FD" w:rsidRPr="00B30D37" w:rsidRDefault="00B249FD" w:rsidP="002D44B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Разом за рік</w:t>
            </w:r>
          </w:p>
        </w:tc>
        <w:tc>
          <w:tcPr>
            <w:tcW w:w="993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1558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B249FD" w:rsidRPr="00B30D37" w:rsidRDefault="003C1C99" w:rsidP="008D5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91465,00</w:t>
            </w:r>
          </w:p>
        </w:tc>
      </w:tr>
      <w:tr w:rsidR="00B249FD" w:rsidRPr="00B30D37" w:rsidTr="008D5DEC">
        <w:trPr>
          <w:trHeight w:val="300"/>
        </w:trPr>
        <w:tc>
          <w:tcPr>
            <w:tcW w:w="491" w:type="dxa"/>
            <w:shd w:val="clear" w:color="auto" w:fill="auto"/>
            <w:noWrap/>
          </w:tcPr>
          <w:p w:rsidR="00B249FD" w:rsidRPr="00B30D37" w:rsidRDefault="00B249FD" w:rsidP="008D5DE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2452" w:type="dxa"/>
            <w:shd w:val="clear" w:color="auto" w:fill="auto"/>
          </w:tcPr>
          <w:p w:rsidR="00B249FD" w:rsidRPr="00B30D37" w:rsidRDefault="00B249FD" w:rsidP="002D44B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Сумарно за п’ять років</w:t>
            </w:r>
          </w:p>
        </w:tc>
        <w:tc>
          <w:tcPr>
            <w:tcW w:w="993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1558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B249FD" w:rsidRPr="00B30D37" w:rsidRDefault="003C1C99" w:rsidP="008D5D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146011,40</w:t>
            </w:r>
          </w:p>
        </w:tc>
      </w:tr>
    </w:tbl>
    <w:p w:rsidR="00B249FD" w:rsidRPr="00B30D37" w:rsidRDefault="00B249FD" w:rsidP="00B249FD">
      <w:pPr>
        <w:ind w:left="142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B30D37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2. Розрахунок сумарних витрат суб’єктів малого підприємництва, що виникають на виконання вимог регулювання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6165"/>
        <w:gridCol w:w="1749"/>
        <w:gridCol w:w="1483"/>
      </w:tblGrid>
      <w:tr w:rsidR="00B249FD" w:rsidRPr="00B30D37" w:rsidTr="008D5DEC">
        <w:trPr>
          <w:trHeight w:val="870"/>
        </w:trPr>
        <w:tc>
          <w:tcPr>
            <w:tcW w:w="450" w:type="dxa"/>
            <w:shd w:val="clear" w:color="auto" w:fill="auto"/>
          </w:tcPr>
          <w:p w:rsidR="00B249FD" w:rsidRPr="00B30D37" w:rsidRDefault="00B249FD" w:rsidP="008D5DE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6173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Показник</w:t>
            </w:r>
          </w:p>
        </w:tc>
        <w:tc>
          <w:tcPr>
            <w:tcW w:w="1749" w:type="dxa"/>
            <w:shd w:val="clear" w:color="auto" w:fill="auto"/>
          </w:tcPr>
          <w:p w:rsidR="00B249FD" w:rsidRPr="00B30D37" w:rsidRDefault="00B249FD" w:rsidP="008D5D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Перший рік регулювання (стартовий)</w:t>
            </w:r>
          </w:p>
        </w:tc>
        <w:tc>
          <w:tcPr>
            <w:tcW w:w="1483" w:type="dxa"/>
          </w:tcPr>
          <w:p w:rsidR="00B249FD" w:rsidRPr="00B30D37" w:rsidRDefault="00B249FD" w:rsidP="008D5D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За п’ять років</w:t>
            </w:r>
          </w:p>
        </w:tc>
      </w:tr>
      <w:tr w:rsidR="00B249FD" w:rsidRPr="00B30D37" w:rsidTr="008D5DEC">
        <w:trPr>
          <w:trHeight w:val="650"/>
        </w:trPr>
        <w:tc>
          <w:tcPr>
            <w:tcW w:w="450" w:type="dxa"/>
            <w:shd w:val="clear" w:color="auto" w:fill="auto"/>
          </w:tcPr>
          <w:p w:rsidR="00B249FD" w:rsidRPr="00B30D37" w:rsidRDefault="00B249FD" w:rsidP="008D5DEC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6173" w:type="dxa"/>
            <w:shd w:val="clear" w:color="auto" w:fill="auto"/>
          </w:tcPr>
          <w:p w:rsidR="00B249FD" w:rsidRPr="00B30D37" w:rsidRDefault="00B249FD" w:rsidP="00B30D3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Оцінка «прямих» витрат суб’єктів малого підприємництва на виконання регулювання</w:t>
            </w:r>
          </w:p>
        </w:tc>
        <w:tc>
          <w:tcPr>
            <w:tcW w:w="1749" w:type="dxa"/>
            <w:shd w:val="clear" w:color="auto" w:fill="auto"/>
          </w:tcPr>
          <w:p w:rsidR="00B249FD" w:rsidRPr="00B30D37" w:rsidRDefault="00536958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839999,80</w:t>
            </w:r>
          </w:p>
        </w:tc>
        <w:tc>
          <w:tcPr>
            <w:tcW w:w="1483" w:type="dxa"/>
          </w:tcPr>
          <w:p w:rsidR="00B249FD" w:rsidRPr="00B30D37" w:rsidRDefault="00536958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4199999</w:t>
            </w:r>
            <w:r w:rsidR="00055D32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,00</w:t>
            </w:r>
          </w:p>
        </w:tc>
      </w:tr>
      <w:tr w:rsidR="00B249FD" w:rsidRPr="00B30D37" w:rsidTr="008D5DEC">
        <w:trPr>
          <w:trHeight w:val="827"/>
        </w:trPr>
        <w:tc>
          <w:tcPr>
            <w:tcW w:w="450" w:type="dxa"/>
            <w:shd w:val="clear" w:color="auto" w:fill="auto"/>
          </w:tcPr>
          <w:p w:rsidR="00B249FD" w:rsidRPr="00B30D37" w:rsidRDefault="00B249FD" w:rsidP="008D5DEC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6173" w:type="dxa"/>
            <w:shd w:val="clear" w:color="auto" w:fill="auto"/>
          </w:tcPr>
          <w:p w:rsidR="00B249FD" w:rsidRPr="00B30D37" w:rsidRDefault="00B249FD" w:rsidP="00B30D3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Оцінка вартості адміністративних процедур для суб’єктів малого підприємництва щодо виконання регулювання та звітування</w:t>
            </w:r>
          </w:p>
        </w:tc>
        <w:tc>
          <w:tcPr>
            <w:tcW w:w="1749" w:type="dxa"/>
            <w:shd w:val="clear" w:color="auto" w:fill="auto"/>
          </w:tcPr>
          <w:p w:rsidR="00B249FD" w:rsidRPr="003A19EF" w:rsidRDefault="00065F52" w:rsidP="008D5D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71723,35</w:t>
            </w:r>
          </w:p>
        </w:tc>
        <w:tc>
          <w:tcPr>
            <w:tcW w:w="1483" w:type="dxa"/>
          </w:tcPr>
          <w:p w:rsidR="00B249FD" w:rsidRPr="003A19EF" w:rsidRDefault="00065F52" w:rsidP="008D5D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81973,35</w:t>
            </w:r>
          </w:p>
        </w:tc>
      </w:tr>
      <w:tr w:rsidR="00B249FD" w:rsidRPr="00B30D37" w:rsidTr="008D5DEC">
        <w:trPr>
          <w:trHeight w:val="683"/>
        </w:trPr>
        <w:tc>
          <w:tcPr>
            <w:tcW w:w="450" w:type="dxa"/>
            <w:shd w:val="clear" w:color="auto" w:fill="auto"/>
          </w:tcPr>
          <w:p w:rsidR="00B249FD" w:rsidRPr="00B30D37" w:rsidRDefault="00B249FD" w:rsidP="008D5DEC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6173" w:type="dxa"/>
            <w:shd w:val="clear" w:color="auto" w:fill="auto"/>
          </w:tcPr>
          <w:p w:rsidR="00B249FD" w:rsidRPr="00B30D37" w:rsidRDefault="00B249FD" w:rsidP="00B30D3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Сумарні витрати малого підприємництва на виконання запланованого  регулювання</w:t>
            </w:r>
          </w:p>
        </w:tc>
        <w:tc>
          <w:tcPr>
            <w:tcW w:w="1749" w:type="dxa"/>
            <w:shd w:val="clear" w:color="auto" w:fill="auto"/>
          </w:tcPr>
          <w:p w:rsidR="00B249FD" w:rsidRPr="0029202A" w:rsidRDefault="0029202A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9202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911723,15</w:t>
            </w:r>
          </w:p>
        </w:tc>
        <w:tc>
          <w:tcPr>
            <w:tcW w:w="1483" w:type="dxa"/>
          </w:tcPr>
          <w:p w:rsidR="00B249FD" w:rsidRPr="0029202A" w:rsidRDefault="0029202A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9202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4281972,35</w:t>
            </w:r>
          </w:p>
        </w:tc>
      </w:tr>
      <w:tr w:rsidR="00B249FD" w:rsidRPr="00B30D37" w:rsidTr="008D5DEC">
        <w:trPr>
          <w:trHeight w:val="566"/>
        </w:trPr>
        <w:tc>
          <w:tcPr>
            <w:tcW w:w="450" w:type="dxa"/>
            <w:shd w:val="clear" w:color="auto" w:fill="auto"/>
          </w:tcPr>
          <w:p w:rsidR="00B249FD" w:rsidRPr="00B30D37" w:rsidRDefault="00B249FD" w:rsidP="008D5DEC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6173" w:type="dxa"/>
            <w:shd w:val="clear" w:color="auto" w:fill="auto"/>
          </w:tcPr>
          <w:p w:rsidR="00B249FD" w:rsidRPr="00B30D37" w:rsidRDefault="00B249FD" w:rsidP="00B30D3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Бюджетні витрати  на адміністрування регулювання суб’єктів малого підприємництва</w:t>
            </w:r>
          </w:p>
        </w:tc>
        <w:tc>
          <w:tcPr>
            <w:tcW w:w="1749" w:type="dxa"/>
            <w:shd w:val="clear" w:color="auto" w:fill="auto"/>
          </w:tcPr>
          <w:p w:rsidR="00B249FD" w:rsidRPr="00B30D37" w:rsidRDefault="003A19EF" w:rsidP="008D5D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91465,00</w:t>
            </w:r>
          </w:p>
        </w:tc>
        <w:tc>
          <w:tcPr>
            <w:tcW w:w="1483" w:type="dxa"/>
          </w:tcPr>
          <w:p w:rsidR="00B249FD" w:rsidRPr="00B30D37" w:rsidRDefault="003A19EF" w:rsidP="008D5D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146011,40</w:t>
            </w:r>
          </w:p>
        </w:tc>
      </w:tr>
      <w:tr w:rsidR="00B249FD" w:rsidRPr="00B30D37" w:rsidTr="008D5DEC">
        <w:trPr>
          <w:trHeight w:val="263"/>
        </w:trPr>
        <w:tc>
          <w:tcPr>
            <w:tcW w:w="450" w:type="dxa"/>
            <w:shd w:val="clear" w:color="auto" w:fill="auto"/>
          </w:tcPr>
          <w:p w:rsidR="00B249FD" w:rsidRPr="00B30D37" w:rsidRDefault="00B249FD" w:rsidP="008D5DEC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6173" w:type="dxa"/>
            <w:shd w:val="clear" w:color="auto" w:fill="auto"/>
          </w:tcPr>
          <w:p w:rsidR="00B249FD" w:rsidRPr="00B30D37" w:rsidRDefault="00B249FD" w:rsidP="00B30D37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30D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Сумарні витрати на виконання запланованого регулювання</w:t>
            </w:r>
          </w:p>
        </w:tc>
        <w:tc>
          <w:tcPr>
            <w:tcW w:w="1749" w:type="dxa"/>
            <w:shd w:val="clear" w:color="auto" w:fill="auto"/>
          </w:tcPr>
          <w:p w:rsidR="00B249FD" w:rsidRPr="00DF7486" w:rsidRDefault="00DF7486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F74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1003188,15</w:t>
            </w:r>
          </w:p>
        </w:tc>
        <w:tc>
          <w:tcPr>
            <w:tcW w:w="1483" w:type="dxa"/>
          </w:tcPr>
          <w:p w:rsidR="00B249FD" w:rsidRPr="00DF7486" w:rsidRDefault="00DF7486" w:rsidP="008D5DE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F74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4427983,75</w:t>
            </w:r>
          </w:p>
        </w:tc>
      </w:tr>
    </w:tbl>
    <w:p w:rsidR="00473821" w:rsidRDefault="00473821" w:rsidP="00B249FD">
      <w:pPr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B249FD" w:rsidRPr="00B30D37" w:rsidRDefault="00B249FD" w:rsidP="00B249FD">
      <w:pPr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B30D37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5. Розроблення </w:t>
      </w:r>
      <w:proofErr w:type="spellStart"/>
      <w:r w:rsidRPr="00B30D37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корегуючих</w:t>
      </w:r>
      <w:proofErr w:type="spellEnd"/>
      <w:r w:rsidRPr="00B30D37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(пом’якшувальних) заходів для малого підприємництва щодо запропонованого регулювання</w:t>
      </w:r>
    </w:p>
    <w:p w:rsidR="00B249FD" w:rsidRDefault="00B249FD" w:rsidP="00E84D6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30D3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Впровадження </w:t>
      </w:r>
      <w:proofErr w:type="spellStart"/>
      <w:r w:rsidRPr="00B30D37">
        <w:rPr>
          <w:rFonts w:ascii="Times New Roman" w:eastAsia="Calibri" w:hAnsi="Times New Roman" w:cs="Times New Roman"/>
          <w:sz w:val="24"/>
          <w:szCs w:val="24"/>
          <w:lang w:val="uk-UA"/>
        </w:rPr>
        <w:t>корегуючих</w:t>
      </w:r>
      <w:proofErr w:type="spellEnd"/>
      <w:r w:rsidRPr="00B30D3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заходів </w:t>
      </w:r>
      <w:r w:rsidR="00167D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 передбачені</w:t>
      </w:r>
      <w:r w:rsidRPr="00B30D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Законом України «Про оренду державного та комунального майна».</w:t>
      </w:r>
    </w:p>
    <w:p w:rsidR="00554136" w:rsidRPr="00B30D37" w:rsidRDefault="00554136" w:rsidP="00E84D6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650D" w:rsidRDefault="009C650D" w:rsidP="005541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C650D">
        <w:rPr>
          <w:rFonts w:ascii="Times New Roman" w:hAnsi="Times New Roman" w:cs="Times New Roman"/>
          <w:b/>
          <w:bCs/>
          <w:sz w:val="24"/>
          <w:szCs w:val="24"/>
          <w:lang w:val="uk-UA"/>
        </w:rPr>
        <w:t>VІІ. Обґрунтування запропонованого строку дії регуляторного акта</w:t>
      </w:r>
    </w:p>
    <w:p w:rsidR="00554136" w:rsidRPr="009C650D" w:rsidRDefault="00554136" w:rsidP="005541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C650D" w:rsidRDefault="009C650D" w:rsidP="00677C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0D">
        <w:rPr>
          <w:rFonts w:ascii="Times New Roman" w:hAnsi="Times New Roman" w:cs="Times New Roman"/>
          <w:sz w:val="24"/>
          <w:szCs w:val="24"/>
          <w:lang w:val="uk-UA"/>
        </w:rPr>
        <w:t>Строк дії запропонованого регуляторного акта необмежений, оскільки відносини</w:t>
      </w:r>
      <w:r w:rsidR="00677C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C650D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677C46">
        <w:rPr>
          <w:rFonts w:ascii="Times New Roman" w:hAnsi="Times New Roman" w:cs="Times New Roman"/>
          <w:sz w:val="24"/>
          <w:szCs w:val="24"/>
          <w:lang w:val="uk-UA"/>
        </w:rPr>
        <w:t>оренди комунального майна мають</w:t>
      </w:r>
      <w:r w:rsidRPr="009C650D">
        <w:rPr>
          <w:rFonts w:ascii="Times New Roman" w:hAnsi="Times New Roman" w:cs="Times New Roman"/>
          <w:sz w:val="24"/>
          <w:szCs w:val="24"/>
          <w:lang w:val="uk-UA"/>
        </w:rPr>
        <w:t xml:space="preserve"> постійний характер. В разі внесення змін у</w:t>
      </w:r>
      <w:r w:rsidR="00677C4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9C650D">
        <w:rPr>
          <w:rFonts w:ascii="Times New Roman" w:hAnsi="Times New Roman" w:cs="Times New Roman"/>
          <w:sz w:val="24"/>
          <w:szCs w:val="24"/>
          <w:lang w:val="uk-UA"/>
        </w:rPr>
        <w:t>чинному законодавстві, що впливатимуть на дію даного регуляторного акта, до нього</w:t>
      </w:r>
      <w:r w:rsidR="00677C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C650D">
        <w:rPr>
          <w:rFonts w:ascii="Times New Roman" w:hAnsi="Times New Roman" w:cs="Times New Roman"/>
          <w:sz w:val="24"/>
          <w:szCs w:val="24"/>
          <w:lang w:val="uk-UA"/>
        </w:rPr>
        <w:t>будуть вноситись відповідні коригування.</w:t>
      </w:r>
    </w:p>
    <w:p w:rsidR="00554136" w:rsidRPr="009C650D" w:rsidRDefault="00554136" w:rsidP="00677C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650D" w:rsidRDefault="009C650D" w:rsidP="005541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C650D">
        <w:rPr>
          <w:rFonts w:ascii="Times New Roman" w:hAnsi="Times New Roman" w:cs="Times New Roman"/>
          <w:b/>
          <w:bCs/>
          <w:sz w:val="24"/>
          <w:szCs w:val="24"/>
          <w:lang w:val="uk-UA"/>
        </w:rPr>
        <w:t>VІІІ. Визначення показників результативності дії регуляторного акта</w:t>
      </w:r>
    </w:p>
    <w:p w:rsidR="00554136" w:rsidRPr="009C650D" w:rsidRDefault="00554136" w:rsidP="005541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C650D" w:rsidRPr="009C650D" w:rsidRDefault="009C650D" w:rsidP="00A71F1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0D">
        <w:rPr>
          <w:rFonts w:ascii="Times New Roman" w:hAnsi="Times New Roman" w:cs="Times New Roman"/>
          <w:sz w:val="24"/>
          <w:szCs w:val="24"/>
          <w:lang w:val="uk-UA"/>
        </w:rPr>
        <w:lastRenderedPageBreak/>
        <w:t>Відстеження результативності регуляторного акта здійснюється у встановленому</w:t>
      </w:r>
      <w:r w:rsidR="00A71F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C650D">
        <w:rPr>
          <w:rFonts w:ascii="Times New Roman" w:hAnsi="Times New Roman" w:cs="Times New Roman"/>
          <w:sz w:val="24"/>
          <w:szCs w:val="24"/>
          <w:lang w:val="uk-UA"/>
        </w:rPr>
        <w:t>законодавством порядку за кількісними і якісними показниками з використанням</w:t>
      </w:r>
      <w:r w:rsidR="00A71F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C650D">
        <w:rPr>
          <w:rFonts w:ascii="Times New Roman" w:hAnsi="Times New Roman" w:cs="Times New Roman"/>
          <w:sz w:val="24"/>
          <w:szCs w:val="24"/>
          <w:lang w:val="uk-UA"/>
        </w:rPr>
        <w:t>статистичного методу одержання результатів відстеження.</w:t>
      </w:r>
    </w:p>
    <w:p w:rsidR="009C650D" w:rsidRPr="009C650D" w:rsidRDefault="009C650D" w:rsidP="00A71F1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0D">
        <w:rPr>
          <w:rFonts w:ascii="Times New Roman" w:hAnsi="Times New Roman" w:cs="Times New Roman"/>
          <w:sz w:val="24"/>
          <w:szCs w:val="24"/>
          <w:lang w:val="uk-UA"/>
        </w:rPr>
        <w:t>Кількісні показники результативності акта – кількість укладених договорів оренди</w:t>
      </w:r>
      <w:r w:rsidR="00A71F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C650D">
        <w:rPr>
          <w:rFonts w:ascii="Times New Roman" w:hAnsi="Times New Roman" w:cs="Times New Roman"/>
          <w:sz w:val="24"/>
          <w:szCs w:val="24"/>
          <w:lang w:val="uk-UA"/>
        </w:rPr>
        <w:t>за певний період.</w:t>
      </w:r>
    </w:p>
    <w:p w:rsidR="009C650D" w:rsidRDefault="009C650D" w:rsidP="00516D0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50D">
        <w:rPr>
          <w:rFonts w:ascii="Times New Roman" w:hAnsi="Times New Roman" w:cs="Times New Roman"/>
          <w:sz w:val="24"/>
          <w:szCs w:val="24"/>
          <w:lang w:val="uk-UA"/>
        </w:rPr>
        <w:t>Якісні показники результативності акта – надходження коштів до</w:t>
      </w:r>
      <w:r w:rsidR="00783BBF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бюджету та орендодавців </w:t>
      </w:r>
      <w:r w:rsidR="007D4E09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Pr="009C650D">
        <w:rPr>
          <w:rFonts w:ascii="Times New Roman" w:hAnsi="Times New Roman" w:cs="Times New Roman"/>
          <w:sz w:val="24"/>
          <w:szCs w:val="24"/>
          <w:lang w:val="uk-UA"/>
        </w:rPr>
        <w:t>наслідок переукладення діючих договорів оренди та укладення нових.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9"/>
        <w:gridCol w:w="2014"/>
        <w:gridCol w:w="1754"/>
        <w:gridCol w:w="1268"/>
        <w:gridCol w:w="1246"/>
      </w:tblGrid>
      <w:tr w:rsidR="00124253" w:rsidRPr="00124253" w:rsidTr="00486CED">
        <w:tc>
          <w:tcPr>
            <w:tcW w:w="3293" w:type="dxa"/>
          </w:tcPr>
          <w:p w:rsidR="00124253" w:rsidRPr="00124253" w:rsidRDefault="00124253" w:rsidP="00124253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 w:rsidRPr="00124253">
              <w:rPr>
                <w:rFonts w:ascii="Times New Roman" w:eastAsia="Batang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 xml:space="preserve">Показник </w:t>
            </w:r>
          </w:p>
        </w:tc>
        <w:tc>
          <w:tcPr>
            <w:tcW w:w="2018" w:type="dxa"/>
          </w:tcPr>
          <w:p w:rsidR="00124253" w:rsidRPr="00124253" w:rsidRDefault="0048272E" w:rsidP="00124253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Batang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>2021 рік</w:t>
            </w:r>
          </w:p>
        </w:tc>
        <w:tc>
          <w:tcPr>
            <w:tcW w:w="1757" w:type="dxa"/>
          </w:tcPr>
          <w:p w:rsidR="00124253" w:rsidRPr="00124253" w:rsidRDefault="0048272E" w:rsidP="00124253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Batang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>2022 рік</w:t>
            </w:r>
            <w:r w:rsidR="00124253" w:rsidRPr="00124253">
              <w:rPr>
                <w:rFonts w:ascii="Times New Roman" w:eastAsia="Batang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1268" w:type="dxa"/>
          </w:tcPr>
          <w:p w:rsidR="00124253" w:rsidRPr="00124253" w:rsidRDefault="0048272E" w:rsidP="00124253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Batang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>2023 рік</w:t>
            </w:r>
            <w:r w:rsidR="00124253" w:rsidRPr="00124253">
              <w:rPr>
                <w:rFonts w:ascii="Times New Roman" w:eastAsia="Batang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1235" w:type="dxa"/>
          </w:tcPr>
          <w:p w:rsidR="00124253" w:rsidRPr="00124253" w:rsidRDefault="0048272E" w:rsidP="00124253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Batang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>2024 рік</w:t>
            </w:r>
            <w:r w:rsidR="00124253" w:rsidRPr="00124253">
              <w:rPr>
                <w:rFonts w:ascii="Times New Roman" w:eastAsia="Batang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 xml:space="preserve"> </w:t>
            </w:r>
          </w:p>
        </w:tc>
      </w:tr>
      <w:tr w:rsidR="00124253" w:rsidRPr="00124253" w:rsidTr="00486CED">
        <w:tc>
          <w:tcPr>
            <w:tcW w:w="3293" w:type="dxa"/>
          </w:tcPr>
          <w:p w:rsidR="0028489F" w:rsidRDefault="002850B9" w:rsidP="00124253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val="uk-UA" w:eastAsia="uk-UA"/>
              </w:rPr>
            </w:pPr>
            <w:r w:rsidRPr="002850B9">
              <w:rPr>
                <w:rFonts w:ascii="Times New Roman" w:eastAsia="Batang" w:hAnsi="Times New Roman" w:cs="Times New Roman"/>
                <w:sz w:val="24"/>
                <w:szCs w:val="24"/>
                <w:lang w:val="uk-UA" w:eastAsia="uk-UA"/>
              </w:rPr>
              <w:t xml:space="preserve">Кількість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val="uk-UA" w:eastAsia="uk-UA"/>
              </w:rPr>
              <w:t>укладених договорів оренди нерухомого майна</w:t>
            </w:r>
            <w:r w:rsidR="0028489F">
              <w:rPr>
                <w:rFonts w:ascii="Times New Roman" w:eastAsia="Batang" w:hAnsi="Times New Roman" w:cs="Times New Roman"/>
                <w:sz w:val="24"/>
                <w:szCs w:val="24"/>
                <w:lang w:val="uk-UA" w:eastAsia="uk-UA"/>
              </w:rPr>
              <w:t>:</w:t>
            </w:r>
          </w:p>
          <w:p w:rsidR="00124253" w:rsidRDefault="002850B9" w:rsidP="00124253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val="uk-UA" w:eastAsia="uk-UA"/>
              </w:rPr>
              <w:t xml:space="preserve"> за результатами аукціону,од.</w:t>
            </w:r>
          </w:p>
          <w:p w:rsidR="0028489F" w:rsidRPr="00124253" w:rsidRDefault="0028489F" w:rsidP="00124253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val="uk-UA" w:eastAsia="uk-UA"/>
              </w:rPr>
              <w:t>без аукціону, од.</w:t>
            </w:r>
          </w:p>
        </w:tc>
        <w:tc>
          <w:tcPr>
            <w:tcW w:w="2018" w:type="dxa"/>
          </w:tcPr>
          <w:p w:rsidR="00124253" w:rsidRDefault="0028489F" w:rsidP="00124253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41</w:t>
            </w:r>
          </w:p>
          <w:p w:rsidR="0028489F" w:rsidRDefault="0028489F" w:rsidP="00124253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28489F" w:rsidRDefault="0028489F" w:rsidP="00124253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28489F" w:rsidRDefault="0028489F" w:rsidP="0028489F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23</w:t>
            </w:r>
          </w:p>
          <w:p w:rsidR="0028489F" w:rsidRPr="00124253" w:rsidRDefault="0028489F" w:rsidP="00124253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18</w:t>
            </w:r>
          </w:p>
        </w:tc>
        <w:tc>
          <w:tcPr>
            <w:tcW w:w="1757" w:type="dxa"/>
          </w:tcPr>
          <w:p w:rsidR="0028489F" w:rsidRDefault="0028489F" w:rsidP="0028489F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41</w:t>
            </w:r>
          </w:p>
          <w:p w:rsidR="0028489F" w:rsidRDefault="0028489F" w:rsidP="0028489F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28489F" w:rsidRDefault="0028489F" w:rsidP="0028489F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28489F" w:rsidRDefault="0028489F" w:rsidP="0028489F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23</w:t>
            </w:r>
          </w:p>
          <w:p w:rsidR="00124253" w:rsidRPr="00CC177F" w:rsidRDefault="0028489F" w:rsidP="0028489F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18</w:t>
            </w:r>
          </w:p>
        </w:tc>
        <w:tc>
          <w:tcPr>
            <w:tcW w:w="1268" w:type="dxa"/>
          </w:tcPr>
          <w:p w:rsidR="0028489F" w:rsidRDefault="0028489F" w:rsidP="0028489F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41</w:t>
            </w:r>
          </w:p>
          <w:p w:rsidR="0028489F" w:rsidRDefault="0028489F" w:rsidP="0028489F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28489F" w:rsidRDefault="0028489F" w:rsidP="0028489F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28489F" w:rsidRDefault="0028489F" w:rsidP="0028489F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23</w:t>
            </w:r>
          </w:p>
          <w:p w:rsidR="00124253" w:rsidRPr="00CC177F" w:rsidRDefault="0028489F" w:rsidP="0028489F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18</w:t>
            </w:r>
          </w:p>
        </w:tc>
        <w:tc>
          <w:tcPr>
            <w:tcW w:w="1235" w:type="dxa"/>
          </w:tcPr>
          <w:p w:rsidR="0028489F" w:rsidRDefault="0028489F" w:rsidP="0028489F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41</w:t>
            </w:r>
          </w:p>
          <w:p w:rsidR="0028489F" w:rsidRDefault="0028489F" w:rsidP="0028489F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28489F" w:rsidRDefault="0028489F" w:rsidP="0028489F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28489F" w:rsidRDefault="0028489F" w:rsidP="0028489F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23</w:t>
            </w:r>
          </w:p>
          <w:p w:rsidR="00124253" w:rsidRPr="00CC177F" w:rsidRDefault="0028489F" w:rsidP="0028489F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18</w:t>
            </w:r>
          </w:p>
        </w:tc>
      </w:tr>
      <w:tr w:rsidR="00124253" w:rsidRPr="00124253" w:rsidTr="00486CED">
        <w:tc>
          <w:tcPr>
            <w:tcW w:w="3293" w:type="dxa"/>
          </w:tcPr>
          <w:p w:rsidR="00124253" w:rsidRPr="00124253" w:rsidRDefault="002850B9" w:rsidP="00634CF4">
            <w:pPr>
              <w:spacing w:after="0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val="uk-UA" w:eastAsia="uk-UA"/>
              </w:rPr>
            </w:pPr>
            <w:r w:rsidRPr="002850B9">
              <w:rPr>
                <w:rFonts w:ascii="Times New Roman" w:eastAsia="Batang" w:hAnsi="Times New Roman" w:cs="Times New Roman"/>
                <w:sz w:val="24"/>
                <w:szCs w:val="24"/>
                <w:lang w:val="uk-UA" w:eastAsia="uk-UA"/>
              </w:rPr>
              <w:t xml:space="preserve">Сума надходження коштів від орендної плати до міського бюджету </w:t>
            </w:r>
            <w:r w:rsidR="00634CF4">
              <w:rPr>
                <w:rFonts w:ascii="Times New Roman" w:eastAsia="Batang" w:hAnsi="Times New Roman" w:cs="Times New Roman"/>
                <w:sz w:val="24"/>
                <w:szCs w:val="24"/>
                <w:lang w:val="uk-UA" w:eastAsia="uk-UA"/>
              </w:rPr>
              <w:t xml:space="preserve">та </w:t>
            </w:r>
            <w:proofErr w:type="spellStart"/>
            <w:r w:rsidR="00634CF4">
              <w:rPr>
                <w:rFonts w:ascii="Times New Roman" w:eastAsia="Batang" w:hAnsi="Times New Roman" w:cs="Times New Roman"/>
                <w:sz w:val="24"/>
                <w:szCs w:val="24"/>
                <w:lang w:val="uk-UA" w:eastAsia="uk-UA"/>
              </w:rPr>
              <w:t>балансоутримувачам</w:t>
            </w:r>
            <w:proofErr w:type="spellEnd"/>
            <w:r w:rsidRPr="002850B9">
              <w:rPr>
                <w:rFonts w:ascii="Times New Roman" w:eastAsia="Batang" w:hAnsi="Times New Roman" w:cs="Times New Roman"/>
                <w:sz w:val="24"/>
                <w:szCs w:val="24"/>
                <w:lang w:val="uk-UA" w:eastAsia="uk-UA"/>
              </w:rPr>
              <w:t>, грн.</w:t>
            </w:r>
          </w:p>
        </w:tc>
        <w:tc>
          <w:tcPr>
            <w:tcW w:w="2018" w:type="dxa"/>
          </w:tcPr>
          <w:p w:rsidR="00124253" w:rsidRPr="00124253" w:rsidRDefault="00634CF4" w:rsidP="00124253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840000</w:t>
            </w:r>
            <w:r w:rsidR="00CC177F"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,00</w:t>
            </w:r>
          </w:p>
        </w:tc>
        <w:tc>
          <w:tcPr>
            <w:tcW w:w="1757" w:type="dxa"/>
          </w:tcPr>
          <w:p w:rsidR="00124253" w:rsidRPr="00124253" w:rsidRDefault="00634CF4" w:rsidP="00124253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880000</w:t>
            </w:r>
            <w:r w:rsidR="00CC177F"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,00</w:t>
            </w:r>
          </w:p>
        </w:tc>
        <w:tc>
          <w:tcPr>
            <w:tcW w:w="1268" w:type="dxa"/>
          </w:tcPr>
          <w:p w:rsidR="00124253" w:rsidRPr="00124253" w:rsidRDefault="00634CF4" w:rsidP="00124253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9200</w:t>
            </w:r>
            <w:r w:rsidR="00CC177F"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00,00</w:t>
            </w:r>
          </w:p>
        </w:tc>
        <w:tc>
          <w:tcPr>
            <w:tcW w:w="1235" w:type="dxa"/>
          </w:tcPr>
          <w:p w:rsidR="00124253" w:rsidRPr="00124253" w:rsidRDefault="00634CF4" w:rsidP="00124253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9600</w:t>
            </w:r>
            <w:r w:rsidR="00CC177F"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00,00</w:t>
            </w:r>
          </w:p>
        </w:tc>
      </w:tr>
      <w:tr w:rsidR="002850B9" w:rsidRPr="00124253" w:rsidTr="00486CED">
        <w:tc>
          <w:tcPr>
            <w:tcW w:w="3293" w:type="dxa"/>
          </w:tcPr>
          <w:p w:rsidR="002850B9" w:rsidRPr="002850B9" w:rsidRDefault="002850B9" w:rsidP="002850B9">
            <w:pPr>
              <w:spacing w:after="0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val="uk-UA" w:eastAsia="uk-UA"/>
              </w:rPr>
              <w:t>Загальний розмір площ, наданих в оренду за результатами аукціону, кв.м.</w:t>
            </w:r>
          </w:p>
        </w:tc>
        <w:tc>
          <w:tcPr>
            <w:tcW w:w="2018" w:type="dxa"/>
          </w:tcPr>
          <w:p w:rsidR="002850B9" w:rsidRPr="00124253" w:rsidRDefault="00CC177F" w:rsidP="00124253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966</w:t>
            </w:r>
          </w:p>
        </w:tc>
        <w:tc>
          <w:tcPr>
            <w:tcW w:w="1757" w:type="dxa"/>
          </w:tcPr>
          <w:p w:rsidR="002850B9" w:rsidRPr="00124253" w:rsidRDefault="00CC177F" w:rsidP="00124253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966</w:t>
            </w:r>
          </w:p>
        </w:tc>
        <w:tc>
          <w:tcPr>
            <w:tcW w:w="1268" w:type="dxa"/>
          </w:tcPr>
          <w:p w:rsidR="002850B9" w:rsidRPr="00124253" w:rsidRDefault="00CC177F" w:rsidP="00124253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966</w:t>
            </w:r>
          </w:p>
        </w:tc>
        <w:tc>
          <w:tcPr>
            <w:tcW w:w="1235" w:type="dxa"/>
          </w:tcPr>
          <w:p w:rsidR="002850B9" w:rsidRPr="00124253" w:rsidRDefault="00CC177F" w:rsidP="00124253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966</w:t>
            </w:r>
          </w:p>
        </w:tc>
      </w:tr>
      <w:tr w:rsidR="00124253" w:rsidRPr="00124253" w:rsidTr="00486CED">
        <w:tc>
          <w:tcPr>
            <w:tcW w:w="3293" w:type="dxa"/>
          </w:tcPr>
          <w:p w:rsidR="00124253" w:rsidRPr="00124253" w:rsidRDefault="00124253" w:rsidP="00124253">
            <w:pPr>
              <w:spacing w:after="0"/>
              <w:jc w:val="both"/>
              <w:rPr>
                <w:rFonts w:ascii="Arial" w:eastAsia="Batang" w:hAnsi="Arial" w:cs="Arial"/>
                <w:sz w:val="24"/>
                <w:szCs w:val="24"/>
                <w:lang w:val="uk-UA" w:eastAsia="uk-UA"/>
              </w:rPr>
            </w:pPr>
            <w:r w:rsidRPr="00124253">
              <w:rPr>
                <w:rFonts w:ascii="Times New Roman" w:eastAsia="Batang" w:hAnsi="Times New Roman" w:cs="Times New Roman"/>
                <w:bCs/>
                <w:color w:val="000000"/>
                <w:kern w:val="24"/>
                <w:sz w:val="24"/>
                <w:szCs w:val="24"/>
                <w:lang w:val="uk-UA" w:eastAsia="uk-UA"/>
              </w:rPr>
              <w:t>Розмір коштів і час, що витрачатимуться СГ та/або фізичними особами, пов'язаними з виконанням вимог акта</w:t>
            </w:r>
            <w:r w:rsidRPr="00124253">
              <w:rPr>
                <w:rFonts w:ascii="Times New Roman" w:eastAsia="Batang" w:hAnsi="Times New Roman" w:cs="Times New Roman"/>
                <w:bCs/>
                <w:color w:val="000000"/>
                <w:kern w:val="24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6278" w:type="dxa"/>
            <w:gridSpan w:val="4"/>
          </w:tcPr>
          <w:p w:rsidR="00124253" w:rsidRPr="00124253" w:rsidRDefault="00124253" w:rsidP="00DC0FE3">
            <w:pPr>
              <w:widowControl w:val="0"/>
              <w:spacing w:after="0"/>
              <w:contextualSpacing/>
              <w:jc w:val="both"/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124253"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Час затрачений на ознайомлення з </w:t>
            </w:r>
            <w:r w:rsidR="002B7458"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рішенням та участь в аукціоні становить 2</w:t>
            </w:r>
            <w:r w:rsidRPr="00124253"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години для одного суб'єкта малого підприємництва,</w:t>
            </w:r>
            <w:r w:rsidR="002B7458"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в грошовому вираженні витрати </w:t>
            </w:r>
            <w:r w:rsidRPr="00124253"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для </w:t>
            </w:r>
            <w:r w:rsidR="00DC0FE3"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23</w:t>
            </w:r>
            <w:r w:rsidRPr="00124253"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proofErr w:type="spellStart"/>
            <w:r w:rsidRPr="00124253"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суб</w:t>
            </w:r>
            <w:proofErr w:type="spellEnd"/>
            <w:r w:rsidRPr="00124253"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uk-UA"/>
              </w:rPr>
              <w:t>'</w:t>
            </w:r>
            <w:proofErr w:type="spellStart"/>
            <w:r w:rsidR="002B7458"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єкт</w:t>
            </w:r>
            <w:r w:rsidR="00DC0FE3"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ів</w:t>
            </w:r>
            <w:proofErr w:type="spellEnd"/>
            <w:r w:rsidR="002B7458"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господарювання</w:t>
            </w:r>
            <w:r w:rsidRPr="00124253"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становлять </w:t>
            </w:r>
            <w:r w:rsidR="00A415BA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 xml:space="preserve">38797,55 </w:t>
            </w:r>
            <w:r w:rsidRPr="00124253"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грн. </w:t>
            </w:r>
          </w:p>
        </w:tc>
      </w:tr>
      <w:tr w:rsidR="00124253" w:rsidRPr="00D257DE" w:rsidTr="00486CED">
        <w:tc>
          <w:tcPr>
            <w:tcW w:w="3293" w:type="dxa"/>
          </w:tcPr>
          <w:p w:rsidR="00124253" w:rsidRPr="00124253" w:rsidRDefault="00124253" w:rsidP="00124253">
            <w:pPr>
              <w:spacing w:after="0"/>
              <w:jc w:val="both"/>
              <w:rPr>
                <w:rFonts w:ascii="Arial" w:eastAsia="Batang" w:hAnsi="Arial" w:cs="Arial"/>
                <w:sz w:val="24"/>
                <w:szCs w:val="24"/>
                <w:lang w:val="uk-UA" w:eastAsia="uk-UA"/>
              </w:rPr>
            </w:pPr>
            <w:r w:rsidRPr="00124253">
              <w:rPr>
                <w:rFonts w:ascii="Times New Roman" w:eastAsia="Batang" w:hAnsi="Times New Roman" w:cs="Times New Roman"/>
                <w:color w:val="000000"/>
                <w:kern w:val="24"/>
                <w:sz w:val="24"/>
                <w:szCs w:val="24"/>
                <w:lang w:val="uk-UA" w:eastAsia="uk-UA"/>
              </w:rPr>
              <w:t>Рівень поінформованості суб'єктів господарювання та/або фізичних осіб з основних положень акта</w:t>
            </w:r>
            <w:r w:rsidRPr="00124253">
              <w:rPr>
                <w:rFonts w:ascii="Times New Roman" w:eastAsia="Batang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6278" w:type="dxa"/>
            <w:gridSpan w:val="4"/>
          </w:tcPr>
          <w:p w:rsidR="00124253" w:rsidRPr="00124253" w:rsidRDefault="00124253" w:rsidP="00124253">
            <w:pPr>
              <w:widowControl w:val="0"/>
              <w:spacing w:after="0"/>
              <w:contextualSpacing/>
              <w:jc w:val="both"/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124253"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Всі суб’єкти </w:t>
            </w:r>
            <w:r w:rsidR="00486CED"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господарювання</w:t>
            </w:r>
            <w:r w:rsidRPr="00124253"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будуть проінформовані про рішення Знам’янської ради шляхом опублікування його в газеті "</w:t>
            </w:r>
            <w:proofErr w:type="spellStart"/>
            <w:r w:rsidRPr="00124253"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Знам’янські</w:t>
            </w:r>
            <w:proofErr w:type="spellEnd"/>
            <w:r w:rsidRPr="00124253"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вісті" та на офіційному сайті  міської ради</w:t>
            </w:r>
            <w:r w:rsidRPr="00124253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.</w:t>
            </w:r>
          </w:p>
          <w:p w:rsidR="00124253" w:rsidRPr="00124253" w:rsidRDefault="00124253" w:rsidP="00124253">
            <w:pPr>
              <w:widowControl w:val="0"/>
              <w:spacing w:after="0"/>
              <w:contextualSpacing/>
              <w:jc w:val="both"/>
              <w:rPr>
                <w:rFonts w:ascii="Times New Roman" w:eastAsia="Batang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</w:tc>
      </w:tr>
    </w:tbl>
    <w:p w:rsidR="002E2B23" w:rsidRDefault="002E2B23" w:rsidP="00516D0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2B23" w:rsidRDefault="002E2B23" w:rsidP="00516D0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2B23" w:rsidRPr="009C650D" w:rsidRDefault="002E2B23" w:rsidP="00516D0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40EC" w:rsidRPr="000276DB" w:rsidRDefault="003340EC" w:rsidP="00DA2E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276D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IX. Визначення заходів, за допомогою яких здійснюватиметься відстеження результа</w:t>
      </w:r>
      <w:r w:rsidR="00DA2E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тивності дії регуляторного акта</w:t>
      </w:r>
    </w:p>
    <w:p w:rsidR="00757159" w:rsidRDefault="00757159" w:rsidP="000F31D2">
      <w:pPr>
        <w:widowControl w:val="0"/>
        <w:spacing w:after="0"/>
        <w:ind w:right="20" w:firstLine="720"/>
        <w:jc w:val="both"/>
        <w:rPr>
          <w:rFonts w:ascii="Times New Roman" w:hAnsi="Times New Roman" w:cs="Times New Roman"/>
          <w:color w:val="000000"/>
          <w:spacing w:val="1"/>
          <w:sz w:val="24"/>
          <w:shd w:val="clear" w:color="auto" w:fill="FFFFFF"/>
          <w:lang w:val="uk-UA" w:eastAsia="uk-UA"/>
        </w:rPr>
      </w:pPr>
    </w:p>
    <w:p w:rsidR="00757159" w:rsidRDefault="00757159" w:rsidP="000F31D2">
      <w:pPr>
        <w:widowControl w:val="0"/>
        <w:spacing w:after="0"/>
        <w:ind w:right="20" w:firstLine="720"/>
        <w:jc w:val="both"/>
        <w:rPr>
          <w:rFonts w:ascii="Times New Roman" w:hAnsi="Times New Roman" w:cs="Times New Roman"/>
          <w:color w:val="000000"/>
          <w:spacing w:val="1"/>
          <w:sz w:val="24"/>
          <w:shd w:val="clear" w:color="auto" w:fill="FFFFFF"/>
          <w:lang w:val="uk-UA" w:eastAsia="uk-UA"/>
        </w:rPr>
      </w:pPr>
      <w:r>
        <w:rPr>
          <w:rFonts w:ascii="Times New Roman" w:hAnsi="Times New Roman" w:cs="Times New Roman"/>
          <w:color w:val="000000"/>
          <w:spacing w:val="1"/>
          <w:sz w:val="24"/>
          <w:shd w:val="clear" w:color="auto" w:fill="FFFFFF"/>
          <w:lang w:val="uk-UA" w:eastAsia="uk-UA"/>
        </w:rPr>
        <w:t>Постільки термін дії акту необмежений, тому п</w:t>
      </w:r>
      <w:r w:rsidR="000F31D2" w:rsidRPr="000F31D2">
        <w:rPr>
          <w:rFonts w:ascii="Times New Roman" w:hAnsi="Times New Roman" w:cs="Times New Roman"/>
          <w:color w:val="000000"/>
          <w:spacing w:val="1"/>
          <w:sz w:val="24"/>
          <w:shd w:val="clear" w:color="auto" w:fill="FFFFFF"/>
          <w:lang w:val="uk-UA" w:eastAsia="uk-UA"/>
        </w:rPr>
        <w:t>ередб</w:t>
      </w:r>
      <w:r>
        <w:rPr>
          <w:rFonts w:ascii="Times New Roman" w:hAnsi="Times New Roman" w:cs="Times New Roman"/>
          <w:color w:val="000000"/>
          <w:spacing w:val="1"/>
          <w:sz w:val="24"/>
          <w:shd w:val="clear" w:color="auto" w:fill="FFFFFF"/>
          <w:lang w:val="uk-UA" w:eastAsia="uk-UA"/>
        </w:rPr>
        <w:t xml:space="preserve">ачається проведення базового </w:t>
      </w:r>
      <w:r w:rsidR="000F31D2" w:rsidRPr="000F31D2">
        <w:rPr>
          <w:rFonts w:ascii="Times New Roman" w:hAnsi="Times New Roman" w:cs="Times New Roman"/>
          <w:color w:val="000000"/>
          <w:spacing w:val="1"/>
          <w:sz w:val="24"/>
          <w:shd w:val="clear" w:color="auto" w:fill="FFFFFF"/>
          <w:lang w:val="uk-UA" w:eastAsia="uk-UA"/>
        </w:rPr>
        <w:t xml:space="preserve">повторного </w:t>
      </w:r>
      <w:r>
        <w:rPr>
          <w:rFonts w:ascii="Times New Roman" w:hAnsi="Times New Roman" w:cs="Times New Roman"/>
          <w:color w:val="000000"/>
          <w:spacing w:val="1"/>
          <w:sz w:val="24"/>
          <w:shd w:val="clear" w:color="auto" w:fill="FFFFFF"/>
          <w:lang w:val="uk-UA" w:eastAsia="uk-UA"/>
        </w:rPr>
        <w:t xml:space="preserve"> та періодичного </w:t>
      </w:r>
      <w:r w:rsidR="000F31D2" w:rsidRPr="000F31D2">
        <w:rPr>
          <w:rFonts w:ascii="Times New Roman" w:hAnsi="Times New Roman" w:cs="Times New Roman"/>
          <w:color w:val="000000"/>
          <w:spacing w:val="1"/>
          <w:sz w:val="24"/>
          <w:shd w:val="clear" w:color="auto" w:fill="FFFFFF"/>
          <w:lang w:val="uk-UA" w:eastAsia="uk-UA"/>
        </w:rPr>
        <w:t xml:space="preserve">відстеження результативності рішення. </w:t>
      </w:r>
    </w:p>
    <w:p w:rsidR="00124253" w:rsidRDefault="00124253" w:rsidP="00124253">
      <w:pPr>
        <w:widowControl w:val="0"/>
        <w:spacing w:after="0"/>
        <w:ind w:right="20" w:firstLine="720"/>
        <w:jc w:val="both"/>
        <w:rPr>
          <w:rFonts w:ascii="Times New Roman" w:hAnsi="Times New Roman" w:cs="Times New Roman"/>
          <w:color w:val="000000"/>
          <w:spacing w:val="1"/>
          <w:sz w:val="24"/>
          <w:shd w:val="clear" w:color="auto" w:fill="FFFFFF"/>
          <w:lang w:val="uk-UA" w:eastAsia="uk-UA"/>
        </w:rPr>
      </w:pPr>
      <w:r w:rsidRPr="00124253">
        <w:rPr>
          <w:rFonts w:ascii="Times New Roman" w:hAnsi="Times New Roman" w:cs="Times New Roman"/>
          <w:color w:val="000000"/>
          <w:spacing w:val="1"/>
          <w:sz w:val="24"/>
          <w:shd w:val="clear" w:color="auto" w:fill="FFFFFF"/>
          <w:lang w:val="uk-UA" w:eastAsia="uk-UA"/>
        </w:rPr>
        <w:t>Перегляд даного рішення може бути здійснений у випадку виникнення відповідної необхідності, змін у чинному законодавстві або на підставі аналізу звіту про відстеження регуляторного акту.</w:t>
      </w:r>
    </w:p>
    <w:p w:rsidR="000F31D2" w:rsidRPr="000F31D2" w:rsidRDefault="000F31D2" w:rsidP="000F31D2">
      <w:pPr>
        <w:widowControl w:val="0"/>
        <w:spacing w:after="0"/>
        <w:ind w:right="20" w:firstLine="720"/>
        <w:jc w:val="both"/>
        <w:rPr>
          <w:rFonts w:ascii="Times New Roman" w:hAnsi="Times New Roman" w:cs="Times New Roman"/>
          <w:spacing w:val="1"/>
          <w:sz w:val="24"/>
          <w:lang w:val="uk-UA"/>
        </w:rPr>
      </w:pPr>
      <w:r w:rsidRPr="000F31D2">
        <w:rPr>
          <w:rFonts w:ascii="Times New Roman" w:hAnsi="Times New Roman" w:cs="Times New Roman"/>
          <w:color w:val="000000"/>
          <w:spacing w:val="1"/>
          <w:sz w:val="24"/>
          <w:shd w:val="clear" w:color="auto" w:fill="FFFFFF"/>
          <w:lang w:val="uk-UA" w:eastAsia="uk-UA"/>
        </w:rPr>
        <w:t>Базове відстеження результативності регуляторного акта буде здійснюватись до дати набрання чинності цього акта шляхом збору пропозицій і зауважень та їх аналізу.</w:t>
      </w:r>
    </w:p>
    <w:p w:rsidR="000F31D2" w:rsidRDefault="000F31D2" w:rsidP="000F31D2">
      <w:pPr>
        <w:widowControl w:val="0"/>
        <w:spacing w:after="0"/>
        <w:ind w:right="20" w:firstLine="720"/>
        <w:jc w:val="both"/>
        <w:rPr>
          <w:rFonts w:ascii="Times New Roman" w:hAnsi="Times New Roman" w:cs="Times New Roman"/>
          <w:sz w:val="24"/>
          <w:lang w:val="uk-UA"/>
        </w:rPr>
      </w:pPr>
      <w:r w:rsidRPr="000F31D2">
        <w:rPr>
          <w:rFonts w:ascii="Times New Roman" w:hAnsi="Times New Roman" w:cs="Times New Roman"/>
          <w:color w:val="000000"/>
          <w:spacing w:val="1"/>
          <w:sz w:val="24"/>
          <w:shd w:val="clear" w:color="auto" w:fill="FFFFFF"/>
          <w:lang w:val="uk-UA" w:eastAsia="uk-UA"/>
        </w:rPr>
        <w:t>Повторне</w:t>
      </w:r>
      <w:r w:rsidR="00757159">
        <w:rPr>
          <w:rFonts w:ascii="Times New Roman" w:hAnsi="Times New Roman" w:cs="Times New Roman"/>
          <w:color w:val="000000"/>
          <w:spacing w:val="1"/>
          <w:sz w:val="24"/>
          <w:shd w:val="clear" w:color="auto" w:fill="FFFFFF"/>
          <w:lang w:val="uk-UA" w:eastAsia="uk-UA"/>
        </w:rPr>
        <w:t xml:space="preserve"> та періодичні </w:t>
      </w:r>
      <w:r w:rsidRPr="000F31D2">
        <w:rPr>
          <w:rFonts w:ascii="Times New Roman" w:hAnsi="Times New Roman" w:cs="Times New Roman"/>
          <w:color w:val="000000"/>
          <w:spacing w:val="1"/>
          <w:sz w:val="24"/>
          <w:shd w:val="clear" w:color="auto" w:fill="FFFFFF"/>
          <w:lang w:val="uk-UA" w:eastAsia="uk-UA"/>
        </w:rPr>
        <w:t xml:space="preserve">відстеження регуляторного акта буде здійснено </w:t>
      </w:r>
      <w:r w:rsidR="00757159">
        <w:rPr>
          <w:rFonts w:ascii="Times New Roman" w:hAnsi="Times New Roman" w:cs="Times New Roman"/>
          <w:color w:val="000000"/>
          <w:spacing w:val="1"/>
          <w:sz w:val="24"/>
          <w:shd w:val="clear" w:color="auto" w:fill="FFFFFF"/>
          <w:lang w:val="uk-UA" w:eastAsia="uk-UA"/>
        </w:rPr>
        <w:t xml:space="preserve">відповідно до вимог Закону України «Про засади державної регуляторної політики у сфері господарської діяльності». </w:t>
      </w:r>
      <w:r w:rsidR="00F012A6">
        <w:rPr>
          <w:rFonts w:ascii="Times New Roman" w:hAnsi="Times New Roman" w:cs="Times New Roman"/>
          <w:color w:val="000000"/>
          <w:spacing w:val="1"/>
          <w:sz w:val="24"/>
          <w:shd w:val="clear" w:color="auto" w:fill="FFFFFF"/>
          <w:lang w:val="uk-UA" w:eastAsia="uk-UA"/>
        </w:rPr>
        <w:t xml:space="preserve">Повторне відстеження регуляторного акту буде здійснено </w:t>
      </w:r>
      <w:r w:rsidR="00F012A6">
        <w:rPr>
          <w:rFonts w:ascii="Times New Roman" w:hAnsi="Times New Roman" w:cs="Times New Roman"/>
          <w:sz w:val="24"/>
          <w:lang w:val="uk-UA"/>
        </w:rPr>
        <w:t>через один рік після</w:t>
      </w:r>
      <w:r w:rsidRPr="000F31D2">
        <w:rPr>
          <w:rFonts w:ascii="Times New Roman" w:hAnsi="Times New Roman" w:cs="Times New Roman"/>
          <w:sz w:val="24"/>
          <w:lang w:val="uk-UA"/>
        </w:rPr>
        <w:t xml:space="preserve"> </w:t>
      </w:r>
      <w:r w:rsidR="00F012A6">
        <w:rPr>
          <w:rFonts w:ascii="Times New Roman" w:hAnsi="Times New Roman" w:cs="Times New Roman"/>
          <w:sz w:val="24"/>
          <w:lang w:val="uk-UA"/>
        </w:rPr>
        <w:t xml:space="preserve"> набуття  чинності регуляторного</w:t>
      </w:r>
      <w:r w:rsidRPr="000F31D2">
        <w:rPr>
          <w:rFonts w:ascii="Times New Roman" w:hAnsi="Times New Roman" w:cs="Times New Roman"/>
          <w:sz w:val="24"/>
          <w:lang w:val="uk-UA"/>
        </w:rPr>
        <w:t xml:space="preserve"> акт</w:t>
      </w:r>
      <w:r w:rsidR="00F012A6">
        <w:rPr>
          <w:rFonts w:ascii="Times New Roman" w:hAnsi="Times New Roman" w:cs="Times New Roman"/>
          <w:sz w:val="24"/>
          <w:lang w:val="uk-UA"/>
        </w:rPr>
        <w:t>у, періодичні – кожні три роки після повторного</w:t>
      </w:r>
      <w:r w:rsidRPr="000F31D2">
        <w:rPr>
          <w:rFonts w:ascii="Times New Roman" w:hAnsi="Times New Roman" w:cs="Times New Roman"/>
          <w:sz w:val="24"/>
          <w:lang w:val="uk-UA"/>
        </w:rPr>
        <w:t>.</w:t>
      </w:r>
    </w:p>
    <w:p w:rsidR="000F31D2" w:rsidRDefault="000F31D2" w:rsidP="000F31D2">
      <w:pPr>
        <w:spacing w:after="0"/>
        <w:ind w:firstLine="360"/>
        <w:jc w:val="both"/>
        <w:rPr>
          <w:rFonts w:ascii="Times New Roman" w:hAnsi="Times New Roman" w:cs="Times New Roman"/>
          <w:sz w:val="16"/>
          <w:lang w:val="uk-UA"/>
        </w:rPr>
      </w:pPr>
    </w:p>
    <w:p w:rsidR="00C63B32" w:rsidRPr="000F31D2" w:rsidRDefault="00C63B32" w:rsidP="000F31D2">
      <w:pPr>
        <w:spacing w:after="0"/>
        <w:ind w:firstLine="360"/>
        <w:jc w:val="both"/>
        <w:rPr>
          <w:rFonts w:ascii="Times New Roman" w:hAnsi="Times New Roman" w:cs="Times New Roman"/>
          <w:sz w:val="16"/>
          <w:lang w:val="uk-UA"/>
        </w:rPr>
      </w:pPr>
    </w:p>
    <w:p w:rsidR="00124253" w:rsidRPr="00124253" w:rsidRDefault="00124253" w:rsidP="00124253">
      <w:pPr>
        <w:widowControl w:val="0"/>
        <w:spacing w:after="0"/>
        <w:ind w:right="20" w:firstLine="720"/>
        <w:jc w:val="both"/>
        <w:rPr>
          <w:rFonts w:ascii="Times New Roman" w:eastAsia="Batang" w:hAnsi="Times New Roman" w:cs="Times New Roman"/>
          <w:b/>
          <w:color w:val="000000"/>
          <w:spacing w:val="1"/>
          <w:sz w:val="24"/>
          <w:szCs w:val="24"/>
          <w:shd w:val="clear" w:color="auto" w:fill="FFFFFF"/>
          <w:lang w:eastAsia="uk-UA"/>
        </w:rPr>
      </w:pPr>
      <w:r w:rsidRPr="00124253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Зауваження і пропозиції приймаються в письмовому вигляді протягом місяця з дня оприлюднення проєкту регуляторного акту та аналізу регуляторного впливу відділом економічного розвитку, промисловості, інфраструктури та торгівлі </w:t>
      </w:r>
      <w:proofErr w:type="spellStart"/>
      <w:r w:rsidRPr="00124253">
        <w:rPr>
          <w:rFonts w:ascii="Times New Roman" w:eastAsia="Batang" w:hAnsi="Times New Roman" w:cs="Times New Roman"/>
          <w:b/>
          <w:sz w:val="24"/>
          <w:szCs w:val="24"/>
          <w:lang w:val="uk-UA"/>
        </w:rPr>
        <w:t>Знам’янського</w:t>
      </w:r>
      <w:proofErr w:type="spellEnd"/>
      <w:r w:rsidRPr="00124253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міськвиконкому за адресою: 27400, Кіровоградська область, м. Знам’янка, вул. </w:t>
      </w:r>
      <w:proofErr w:type="spellStart"/>
      <w:r w:rsidRPr="00124253">
        <w:rPr>
          <w:rFonts w:ascii="Times New Roman" w:eastAsia="Batang" w:hAnsi="Times New Roman" w:cs="Times New Roman"/>
          <w:b/>
          <w:sz w:val="24"/>
          <w:szCs w:val="24"/>
        </w:rPr>
        <w:t>Михайла</w:t>
      </w:r>
      <w:proofErr w:type="spellEnd"/>
      <w:r w:rsidRPr="00124253">
        <w:rPr>
          <w:rFonts w:ascii="Times New Roman" w:eastAsia="Batang" w:hAnsi="Times New Roman" w:cs="Times New Roman"/>
          <w:b/>
          <w:sz w:val="24"/>
          <w:szCs w:val="24"/>
        </w:rPr>
        <w:t xml:space="preserve"> Грушевського,19, каб.12 (телефон </w:t>
      </w:r>
      <w:r>
        <w:rPr>
          <w:rFonts w:ascii="Times New Roman" w:eastAsia="Batang" w:hAnsi="Times New Roman" w:cs="Times New Roman"/>
          <w:b/>
          <w:sz w:val="24"/>
          <w:szCs w:val="24"/>
          <w:lang w:val="uk-UA"/>
        </w:rPr>
        <w:t>7</w:t>
      </w:r>
      <w:r w:rsidRPr="00124253">
        <w:rPr>
          <w:rFonts w:ascii="Times New Roman" w:eastAsia="Batang" w:hAnsi="Times New Roman" w:cs="Times New Roman"/>
          <w:b/>
          <w:sz w:val="24"/>
          <w:szCs w:val="24"/>
        </w:rPr>
        <w:t>-</w:t>
      </w:r>
      <w:r>
        <w:rPr>
          <w:rFonts w:ascii="Times New Roman" w:eastAsia="Batang" w:hAnsi="Times New Roman" w:cs="Times New Roman"/>
          <w:b/>
          <w:sz w:val="24"/>
          <w:szCs w:val="24"/>
          <w:lang w:val="uk-UA"/>
        </w:rPr>
        <w:t>45</w:t>
      </w:r>
      <w:r w:rsidRPr="00124253">
        <w:rPr>
          <w:rFonts w:ascii="Times New Roman" w:eastAsia="Batang" w:hAnsi="Times New Roman" w:cs="Times New Roman"/>
          <w:b/>
          <w:sz w:val="24"/>
          <w:szCs w:val="24"/>
        </w:rPr>
        <w:t>-</w:t>
      </w:r>
      <w:r>
        <w:rPr>
          <w:rFonts w:ascii="Times New Roman" w:eastAsia="Batang" w:hAnsi="Times New Roman" w:cs="Times New Roman"/>
          <w:b/>
          <w:sz w:val="24"/>
          <w:szCs w:val="24"/>
          <w:lang w:val="uk-UA"/>
        </w:rPr>
        <w:t>25</w:t>
      </w:r>
      <w:r w:rsidRPr="00124253">
        <w:rPr>
          <w:rFonts w:ascii="Times New Roman" w:eastAsia="Batang" w:hAnsi="Times New Roman" w:cs="Times New Roman"/>
          <w:b/>
          <w:sz w:val="24"/>
          <w:szCs w:val="24"/>
        </w:rPr>
        <w:t xml:space="preserve">, </w:t>
      </w:r>
      <w:proofErr w:type="spellStart"/>
      <w:r w:rsidRPr="00124253">
        <w:rPr>
          <w:rFonts w:ascii="Times New Roman" w:eastAsia="Batang" w:hAnsi="Times New Roman" w:cs="Times New Roman"/>
          <w:b/>
          <w:sz w:val="24"/>
          <w:szCs w:val="24"/>
        </w:rPr>
        <w:t>ел</w:t>
      </w:r>
      <w:proofErr w:type="gramStart"/>
      <w:r w:rsidRPr="00124253">
        <w:rPr>
          <w:rFonts w:ascii="Times New Roman" w:eastAsia="Batang" w:hAnsi="Times New Roman" w:cs="Times New Roman"/>
          <w:b/>
          <w:sz w:val="24"/>
          <w:szCs w:val="24"/>
        </w:rPr>
        <w:t>.п</w:t>
      </w:r>
      <w:proofErr w:type="gramEnd"/>
      <w:r w:rsidRPr="00124253">
        <w:rPr>
          <w:rFonts w:ascii="Times New Roman" w:eastAsia="Batang" w:hAnsi="Times New Roman" w:cs="Times New Roman"/>
          <w:b/>
          <w:sz w:val="24"/>
          <w:szCs w:val="24"/>
        </w:rPr>
        <w:t>ошта</w:t>
      </w:r>
      <w:proofErr w:type="spellEnd"/>
      <w:r w:rsidRPr="00124253">
        <w:rPr>
          <w:rFonts w:ascii="Times New Roman" w:eastAsia="Batang" w:hAnsi="Times New Roman" w:cs="Times New Roman"/>
          <w:b/>
          <w:sz w:val="24"/>
          <w:szCs w:val="24"/>
        </w:rPr>
        <w:t xml:space="preserve">:  </w:t>
      </w:r>
      <w:hyperlink r:id="rId6" w:history="1">
        <w:r w:rsidRPr="00124253">
          <w:rPr>
            <w:rFonts w:ascii="Times New Roman" w:eastAsia="Batang" w:hAnsi="Times New Roman" w:cs="Times New Roman"/>
            <w:b/>
            <w:sz w:val="24"/>
            <w:szCs w:val="24"/>
            <w:shd w:val="clear" w:color="auto" w:fill="FFFFFF"/>
          </w:rPr>
          <w:t>zmvk_ue@zn-rada.gov.ua</w:t>
        </w:r>
      </w:hyperlink>
      <w:r w:rsidRPr="00124253">
        <w:rPr>
          <w:rFonts w:ascii="Times New Roman" w:eastAsia="Batang" w:hAnsi="Times New Roman" w:cs="Times New Roman"/>
          <w:b/>
          <w:sz w:val="24"/>
          <w:szCs w:val="24"/>
        </w:rPr>
        <w:t>).</w:t>
      </w:r>
    </w:p>
    <w:p w:rsidR="000F31D2" w:rsidRDefault="000F31D2" w:rsidP="000F31D2">
      <w:pPr>
        <w:widowControl w:val="0"/>
        <w:ind w:right="20"/>
        <w:jc w:val="both"/>
        <w:rPr>
          <w:rFonts w:ascii="Times New Roman" w:hAnsi="Times New Roman" w:cs="Times New Roman"/>
          <w:color w:val="000000"/>
          <w:spacing w:val="1"/>
          <w:sz w:val="6"/>
          <w:shd w:val="clear" w:color="auto" w:fill="FFFFFF"/>
          <w:lang w:val="uk-UA" w:eastAsia="uk-UA"/>
        </w:rPr>
      </w:pPr>
    </w:p>
    <w:p w:rsidR="003B43CF" w:rsidRPr="003B43CF" w:rsidRDefault="003B43CF" w:rsidP="000F31D2">
      <w:pPr>
        <w:widowControl w:val="0"/>
        <w:ind w:right="20"/>
        <w:jc w:val="both"/>
        <w:rPr>
          <w:rFonts w:ascii="Times New Roman" w:hAnsi="Times New Roman" w:cs="Times New Roman"/>
          <w:color w:val="000000"/>
          <w:spacing w:val="1"/>
          <w:sz w:val="6"/>
          <w:shd w:val="clear" w:color="auto" w:fill="FFFFFF"/>
          <w:lang w:val="uk-UA" w:eastAsia="uk-UA"/>
        </w:rPr>
      </w:pPr>
    </w:p>
    <w:p w:rsidR="000F31D2" w:rsidRPr="000F31D2" w:rsidRDefault="009344C3" w:rsidP="00C63B32">
      <w:pPr>
        <w:widowControl w:val="0"/>
        <w:spacing w:after="0"/>
        <w:ind w:right="20"/>
        <w:jc w:val="both"/>
        <w:rPr>
          <w:rFonts w:ascii="Times New Roman" w:hAnsi="Times New Roman" w:cs="Times New Roman"/>
          <w:b/>
          <w:color w:val="000000"/>
          <w:spacing w:val="1"/>
          <w:sz w:val="24"/>
          <w:shd w:val="clear" w:color="auto" w:fill="FFFFFF"/>
          <w:lang w:eastAsia="uk-UA"/>
        </w:rPr>
      </w:pPr>
      <w:proofErr w:type="spellStart"/>
      <w:r>
        <w:rPr>
          <w:rFonts w:ascii="Times New Roman" w:hAnsi="Times New Roman" w:cs="Times New Roman"/>
          <w:b/>
          <w:color w:val="000000"/>
          <w:spacing w:val="1"/>
          <w:sz w:val="24"/>
          <w:shd w:val="clear" w:color="auto" w:fill="FFFFFF"/>
          <w:lang w:val="uk-UA" w:eastAsia="uk-UA"/>
        </w:rPr>
        <w:t>Знам’янський</w:t>
      </w:r>
      <w:proofErr w:type="spellEnd"/>
      <w:r>
        <w:rPr>
          <w:rFonts w:ascii="Times New Roman" w:hAnsi="Times New Roman" w:cs="Times New Roman"/>
          <w:b/>
          <w:color w:val="000000"/>
          <w:spacing w:val="1"/>
          <w:sz w:val="24"/>
          <w:shd w:val="clear" w:color="auto" w:fill="FFFFFF"/>
          <w:lang w:val="uk-UA" w:eastAsia="uk-UA"/>
        </w:rPr>
        <w:t xml:space="preserve"> міський голова                                                 Володимир СОКИРКО</w:t>
      </w:r>
    </w:p>
    <w:p w:rsidR="000F31D2" w:rsidRPr="008434B9" w:rsidRDefault="000F31D2" w:rsidP="00C63B32">
      <w:pPr>
        <w:spacing w:after="0"/>
        <w:jc w:val="both"/>
      </w:pPr>
    </w:p>
    <w:p w:rsidR="003340EC" w:rsidRPr="003340EC" w:rsidRDefault="003340EC" w:rsidP="003340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0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2B0C20" w:rsidRDefault="002B0C20"/>
    <w:sectPr w:rsidR="002B0C20" w:rsidSect="00D765D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E576A"/>
    <w:multiLevelType w:val="hybridMultilevel"/>
    <w:tmpl w:val="54DE27DA"/>
    <w:lvl w:ilvl="0" w:tplc="9C3AC7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347A6D"/>
    <w:multiLevelType w:val="hybridMultilevel"/>
    <w:tmpl w:val="01440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1E54C8"/>
    <w:multiLevelType w:val="hybridMultilevel"/>
    <w:tmpl w:val="498849F0"/>
    <w:lvl w:ilvl="0" w:tplc="C22822FA">
      <w:start w:val="1"/>
      <w:numFmt w:val="decimal"/>
      <w:lvlText w:val="%1."/>
      <w:lvlJc w:val="left"/>
      <w:pPr>
        <w:ind w:left="81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658E4800"/>
    <w:multiLevelType w:val="hybridMultilevel"/>
    <w:tmpl w:val="CA2EE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BB10B8"/>
    <w:multiLevelType w:val="multilevel"/>
    <w:tmpl w:val="1E1E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2D6EFA"/>
    <w:multiLevelType w:val="multilevel"/>
    <w:tmpl w:val="58542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0EC"/>
    <w:rsid w:val="00005541"/>
    <w:rsid w:val="00012F25"/>
    <w:rsid w:val="00022BAF"/>
    <w:rsid w:val="000276DB"/>
    <w:rsid w:val="00041E95"/>
    <w:rsid w:val="00055D32"/>
    <w:rsid w:val="000570E1"/>
    <w:rsid w:val="00062EED"/>
    <w:rsid w:val="00064042"/>
    <w:rsid w:val="00065F52"/>
    <w:rsid w:val="000877AD"/>
    <w:rsid w:val="000954EA"/>
    <w:rsid w:val="000B4AA5"/>
    <w:rsid w:val="000D025F"/>
    <w:rsid w:val="000F31D2"/>
    <w:rsid w:val="0011195E"/>
    <w:rsid w:val="00124253"/>
    <w:rsid w:val="00132DA2"/>
    <w:rsid w:val="00133FC1"/>
    <w:rsid w:val="00146B0E"/>
    <w:rsid w:val="00146B6D"/>
    <w:rsid w:val="00146D17"/>
    <w:rsid w:val="0014729C"/>
    <w:rsid w:val="00157173"/>
    <w:rsid w:val="00167D13"/>
    <w:rsid w:val="00174280"/>
    <w:rsid w:val="00177A59"/>
    <w:rsid w:val="001848D7"/>
    <w:rsid w:val="00186C6C"/>
    <w:rsid w:val="001C5275"/>
    <w:rsid w:val="001F3FF7"/>
    <w:rsid w:val="001F7B85"/>
    <w:rsid w:val="002012A4"/>
    <w:rsid w:val="00211837"/>
    <w:rsid w:val="00217C95"/>
    <w:rsid w:val="002210AB"/>
    <w:rsid w:val="0022369F"/>
    <w:rsid w:val="00244FDF"/>
    <w:rsid w:val="00256D5E"/>
    <w:rsid w:val="002639CB"/>
    <w:rsid w:val="0026617A"/>
    <w:rsid w:val="00267BB2"/>
    <w:rsid w:val="00272363"/>
    <w:rsid w:val="00281217"/>
    <w:rsid w:val="0028489F"/>
    <w:rsid w:val="002850B9"/>
    <w:rsid w:val="00287D96"/>
    <w:rsid w:val="0029202A"/>
    <w:rsid w:val="002A6884"/>
    <w:rsid w:val="002B0C20"/>
    <w:rsid w:val="002B7458"/>
    <w:rsid w:val="002C0B26"/>
    <w:rsid w:val="002D44B6"/>
    <w:rsid w:val="002D652E"/>
    <w:rsid w:val="002E2B23"/>
    <w:rsid w:val="002E4BFE"/>
    <w:rsid w:val="002F09F8"/>
    <w:rsid w:val="002F34DA"/>
    <w:rsid w:val="002F3C9E"/>
    <w:rsid w:val="002F4C13"/>
    <w:rsid w:val="003041FB"/>
    <w:rsid w:val="00310386"/>
    <w:rsid w:val="003236E5"/>
    <w:rsid w:val="003250AF"/>
    <w:rsid w:val="00331343"/>
    <w:rsid w:val="00332617"/>
    <w:rsid w:val="00332E93"/>
    <w:rsid w:val="003340EC"/>
    <w:rsid w:val="00343A88"/>
    <w:rsid w:val="0034446F"/>
    <w:rsid w:val="003623D6"/>
    <w:rsid w:val="00371D2A"/>
    <w:rsid w:val="00374495"/>
    <w:rsid w:val="00377890"/>
    <w:rsid w:val="00387F79"/>
    <w:rsid w:val="00392284"/>
    <w:rsid w:val="003A19EF"/>
    <w:rsid w:val="003B43CF"/>
    <w:rsid w:val="003B6FDA"/>
    <w:rsid w:val="003C1C99"/>
    <w:rsid w:val="003F6634"/>
    <w:rsid w:val="00403B1F"/>
    <w:rsid w:val="00435864"/>
    <w:rsid w:val="00436947"/>
    <w:rsid w:val="00473821"/>
    <w:rsid w:val="004810FD"/>
    <w:rsid w:val="0048272E"/>
    <w:rsid w:val="00486CED"/>
    <w:rsid w:val="00496353"/>
    <w:rsid w:val="004D0437"/>
    <w:rsid w:val="004E0308"/>
    <w:rsid w:val="004F5704"/>
    <w:rsid w:val="0050286A"/>
    <w:rsid w:val="00506E8C"/>
    <w:rsid w:val="00511EBA"/>
    <w:rsid w:val="00514E4B"/>
    <w:rsid w:val="00516D09"/>
    <w:rsid w:val="005238C8"/>
    <w:rsid w:val="005261F2"/>
    <w:rsid w:val="005319B8"/>
    <w:rsid w:val="00536958"/>
    <w:rsid w:val="00541E98"/>
    <w:rsid w:val="00544845"/>
    <w:rsid w:val="00552BBD"/>
    <w:rsid w:val="00554136"/>
    <w:rsid w:val="0056048C"/>
    <w:rsid w:val="00580845"/>
    <w:rsid w:val="0059017A"/>
    <w:rsid w:val="00596868"/>
    <w:rsid w:val="005A4A2B"/>
    <w:rsid w:val="005A7D95"/>
    <w:rsid w:val="005E5EA8"/>
    <w:rsid w:val="00614F3A"/>
    <w:rsid w:val="0061748C"/>
    <w:rsid w:val="00626168"/>
    <w:rsid w:val="006262F1"/>
    <w:rsid w:val="00630F48"/>
    <w:rsid w:val="00634CF4"/>
    <w:rsid w:val="00647C8B"/>
    <w:rsid w:val="00677C46"/>
    <w:rsid w:val="00691C53"/>
    <w:rsid w:val="00692953"/>
    <w:rsid w:val="006A779A"/>
    <w:rsid w:val="006B25B0"/>
    <w:rsid w:val="006B28E7"/>
    <w:rsid w:val="006B5808"/>
    <w:rsid w:val="006B736F"/>
    <w:rsid w:val="006D0C51"/>
    <w:rsid w:val="007022F2"/>
    <w:rsid w:val="007050C9"/>
    <w:rsid w:val="00707CE1"/>
    <w:rsid w:val="00736852"/>
    <w:rsid w:val="00736B2D"/>
    <w:rsid w:val="00750A8E"/>
    <w:rsid w:val="00757159"/>
    <w:rsid w:val="00760169"/>
    <w:rsid w:val="00773830"/>
    <w:rsid w:val="0078348E"/>
    <w:rsid w:val="00783BBF"/>
    <w:rsid w:val="00783EF2"/>
    <w:rsid w:val="00784147"/>
    <w:rsid w:val="00787149"/>
    <w:rsid w:val="007D0A0F"/>
    <w:rsid w:val="007D1343"/>
    <w:rsid w:val="007D4E09"/>
    <w:rsid w:val="007E3BCA"/>
    <w:rsid w:val="007E7C81"/>
    <w:rsid w:val="007F61B5"/>
    <w:rsid w:val="008116E6"/>
    <w:rsid w:val="00816751"/>
    <w:rsid w:val="00824667"/>
    <w:rsid w:val="00826ABB"/>
    <w:rsid w:val="00834C21"/>
    <w:rsid w:val="00842C46"/>
    <w:rsid w:val="00842E60"/>
    <w:rsid w:val="00861C43"/>
    <w:rsid w:val="00864AE3"/>
    <w:rsid w:val="00865759"/>
    <w:rsid w:val="00875304"/>
    <w:rsid w:val="008A1E77"/>
    <w:rsid w:val="008A7754"/>
    <w:rsid w:val="008B6140"/>
    <w:rsid w:val="008B661E"/>
    <w:rsid w:val="008C1631"/>
    <w:rsid w:val="008D0987"/>
    <w:rsid w:val="008D5DEC"/>
    <w:rsid w:val="009073D4"/>
    <w:rsid w:val="00907A24"/>
    <w:rsid w:val="00910C31"/>
    <w:rsid w:val="0091260B"/>
    <w:rsid w:val="00914342"/>
    <w:rsid w:val="00917FB3"/>
    <w:rsid w:val="00930F4D"/>
    <w:rsid w:val="009344C3"/>
    <w:rsid w:val="00954C95"/>
    <w:rsid w:val="00963089"/>
    <w:rsid w:val="00967BC2"/>
    <w:rsid w:val="009762EA"/>
    <w:rsid w:val="00980802"/>
    <w:rsid w:val="00996A7A"/>
    <w:rsid w:val="009A23C4"/>
    <w:rsid w:val="009B0ECD"/>
    <w:rsid w:val="009B4473"/>
    <w:rsid w:val="009C4F46"/>
    <w:rsid w:val="009C52FD"/>
    <w:rsid w:val="009C650D"/>
    <w:rsid w:val="009E2061"/>
    <w:rsid w:val="009F4FA0"/>
    <w:rsid w:val="00A02DC3"/>
    <w:rsid w:val="00A06BD4"/>
    <w:rsid w:val="00A31F6D"/>
    <w:rsid w:val="00A37438"/>
    <w:rsid w:val="00A415BA"/>
    <w:rsid w:val="00A52140"/>
    <w:rsid w:val="00A530B7"/>
    <w:rsid w:val="00A620C0"/>
    <w:rsid w:val="00A661E2"/>
    <w:rsid w:val="00A71F19"/>
    <w:rsid w:val="00AA1F6D"/>
    <w:rsid w:val="00AA4E42"/>
    <w:rsid w:val="00AC0881"/>
    <w:rsid w:val="00AC3CB8"/>
    <w:rsid w:val="00AC4AEB"/>
    <w:rsid w:val="00AC4E7A"/>
    <w:rsid w:val="00AD3B33"/>
    <w:rsid w:val="00B20DC2"/>
    <w:rsid w:val="00B2275E"/>
    <w:rsid w:val="00B249FD"/>
    <w:rsid w:val="00B30D37"/>
    <w:rsid w:val="00B312FD"/>
    <w:rsid w:val="00B3197D"/>
    <w:rsid w:val="00B32ED2"/>
    <w:rsid w:val="00B412B8"/>
    <w:rsid w:val="00B45678"/>
    <w:rsid w:val="00B56C9F"/>
    <w:rsid w:val="00B64626"/>
    <w:rsid w:val="00B702CB"/>
    <w:rsid w:val="00B746EF"/>
    <w:rsid w:val="00B911D3"/>
    <w:rsid w:val="00B91D7C"/>
    <w:rsid w:val="00B939DE"/>
    <w:rsid w:val="00BA0C94"/>
    <w:rsid w:val="00BA1E25"/>
    <w:rsid w:val="00BA2A8D"/>
    <w:rsid w:val="00BA337D"/>
    <w:rsid w:val="00BB376D"/>
    <w:rsid w:val="00BB570B"/>
    <w:rsid w:val="00BC1DD3"/>
    <w:rsid w:val="00BC52D0"/>
    <w:rsid w:val="00BD3F25"/>
    <w:rsid w:val="00BE768F"/>
    <w:rsid w:val="00C1056B"/>
    <w:rsid w:val="00C20D91"/>
    <w:rsid w:val="00C210EB"/>
    <w:rsid w:val="00C42F9C"/>
    <w:rsid w:val="00C46396"/>
    <w:rsid w:val="00C466B2"/>
    <w:rsid w:val="00C51E7B"/>
    <w:rsid w:val="00C63B32"/>
    <w:rsid w:val="00C64C2A"/>
    <w:rsid w:val="00C82426"/>
    <w:rsid w:val="00C828AA"/>
    <w:rsid w:val="00C94097"/>
    <w:rsid w:val="00CB0366"/>
    <w:rsid w:val="00CB53E5"/>
    <w:rsid w:val="00CC177F"/>
    <w:rsid w:val="00CC47BA"/>
    <w:rsid w:val="00CD2398"/>
    <w:rsid w:val="00CD3D92"/>
    <w:rsid w:val="00CD4808"/>
    <w:rsid w:val="00CE1F45"/>
    <w:rsid w:val="00CE2B00"/>
    <w:rsid w:val="00CE4649"/>
    <w:rsid w:val="00CF307D"/>
    <w:rsid w:val="00D00F1A"/>
    <w:rsid w:val="00D14EF3"/>
    <w:rsid w:val="00D257DE"/>
    <w:rsid w:val="00D42148"/>
    <w:rsid w:val="00D53798"/>
    <w:rsid w:val="00D62FA1"/>
    <w:rsid w:val="00D657BE"/>
    <w:rsid w:val="00D6617D"/>
    <w:rsid w:val="00D7544E"/>
    <w:rsid w:val="00D765DF"/>
    <w:rsid w:val="00D94DFF"/>
    <w:rsid w:val="00DA2E09"/>
    <w:rsid w:val="00DA39EB"/>
    <w:rsid w:val="00DB272B"/>
    <w:rsid w:val="00DB41DB"/>
    <w:rsid w:val="00DC0FE3"/>
    <w:rsid w:val="00DC1029"/>
    <w:rsid w:val="00DC38A1"/>
    <w:rsid w:val="00DC3BBC"/>
    <w:rsid w:val="00DC3EEF"/>
    <w:rsid w:val="00DD6750"/>
    <w:rsid w:val="00DF1ED5"/>
    <w:rsid w:val="00DF2E89"/>
    <w:rsid w:val="00DF31FB"/>
    <w:rsid w:val="00DF7486"/>
    <w:rsid w:val="00E01551"/>
    <w:rsid w:val="00E13A46"/>
    <w:rsid w:val="00E1432E"/>
    <w:rsid w:val="00E4272C"/>
    <w:rsid w:val="00E4567B"/>
    <w:rsid w:val="00E4580E"/>
    <w:rsid w:val="00E474B7"/>
    <w:rsid w:val="00E70CA9"/>
    <w:rsid w:val="00E84D69"/>
    <w:rsid w:val="00E85191"/>
    <w:rsid w:val="00E969EE"/>
    <w:rsid w:val="00EB16B8"/>
    <w:rsid w:val="00EB5DD8"/>
    <w:rsid w:val="00EC0320"/>
    <w:rsid w:val="00ED75CF"/>
    <w:rsid w:val="00EE6246"/>
    <w:rsid w:val="00EF5D34"/>
    <w:rsid w:val="00F012A6"/>
    <w:rsid w:val="00F021B7"/>
    <w:rsid w:val="00F21691"/>
    <w:rsid w:val="00F36456"/>
    <w:rsid w:val="00F50E4A"/>
    <w:rsid w:val="00F575F5"/>
    <w:rsid w:val="00F611DE"/>
    <w:rsid w:val="00F7108F"/>
    <w:rsid w:val="00F722C2"/>
    <w:rsid w:val="00F76C98"/>
    <w:rsid w:val="00F77EA8"/>
    <w:rsid w:val="00F923A6"/>
    <w:rsid w:val="00F929B4"/>
    <w:rsid w:val="00FC420D"/>
    <w:rsid w:val="00FC7E82"/>
    <w:rsid w:val="00FD3562"/>
    <w:rsid w:val="00FE17A4"/>
    <w:rsid w:val="00FE1E64"/>
    <w:rsid w:val="00FF33BB"/>
    <w:rsid w:val="00FF53E3"/>
    <w:rsid w:val="00FF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4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340EC"/>
    <w:rPr>
      <w:b/>
      <w:bCs/>
    </w:rPr>
  </w:style>
  <w:style w:type="character" w:styleId="a5">
    <w:name w:val="Emphasis"/>
    <w:basedOn w:val="a0"/>
    <w:uiPriority w:val="20"/>
    <w:qFormat/>
    <w:rsid w:val="003340EC"/>
    <w:rPr>
      <w:i/>
      <w:iCs/>
    </w:rPr>
  </w:style>
  <w:style w:type="paragraph" w:styleId="a6">
    <w:name w:val="List Paragraph"/>
    <w:basedOn w:val="a"/>
    <w:uiPriority w:val="34"/>
    <w:qFormat/>
    <w:rsid w:val="009A23C4"/>
    <w:pPr>
      <w:ind w:left="720"/>
      <w:contextualSpacing/>
    </w:pPr>
  </w:style>
  <w:style w:type="character" w:customStyle="1" w:styleId="210pt">
    <w:name w:val="Основной текст (2) + 10 pt"/>
    <w:aliases w:val="Полужирный1"/>
    <w:rsid w:val="007050C9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uk-UA" w:eastAsia="uk-UA" w:bidi="ar-SA"/>
    </w:rPr>
  </w:style>
  <w:style w:type="character" w:customStyle="1" w:styleId="2">
    <w:name w:val="Основной текст (2)_"/>
    <w:link w:val="21"/>
    <w:locked/>
    <w:rsid w:val="00760169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760169"/>
    <w:pPr>
      <w:widowControl w:val="0"/>
      <w:shd w:val="clear" w:color="auto" w:fill="FFFFFF"/>
      <w:spacing w:after="0" w:line="322" w:lineRule="exact"/>
      <w:jc w:val="both"/>
    </w:pPr>
    <w:rPr>
      <w:sz w:val="28"/>
      <w:szCs w:val="28"/>
    </w:rPr>
  </w:style>
  <w:style w:type="table" w:styleId="a7">
    <w:name w:val="Table Grid"/>
    <w:basedOn w:val="a1"/>
    <w:uiPriority w:val="59"/>
    <w:rsid w:val="005901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Подпись к таблице"/>
    <w:rsid w:val="00B249FD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4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340EC"/>
    <w:rPr>
      <w:b/>
      <w:bCs/>
    </w:rPr>
  </w:style>
  <w:style w:type="character" w:styleId="a5">
    <w:name w:val="Emphasis"/>
    <w:basedOn w:val="a0"/>
    <w:uiPriority w:val="20"/>
    <w:qFormat/>
    <w:rsid w:val="003340EC"/>
    <w:rPr>
      <w:i/>
      <w:iCs/>
    </w:rPr>
  </w:style>
  <w:style w:type="paragraph" w:styleId="a6">
    <w:name w:val="List Paragraph"/>
    <w:basedOn w:val="a"/>
    <w:uiPriority w:val="34"/>
    <w:qFormat/>
    <w:rsid w:val="009A23C4"/>
    <w:pPr>
      <w:ind w:left="720"/>
      <w:contextualSpacing/>
    </w:pPr>
  </w:style>
  <w:style w:type="character" w:customStyle="1" w:styleId="210pt">
    <w:name w:val="Основной текст (2) + 10 pt"/>
    <w:aliases w:val="Полужирный1"/>
    <w:rsid w:val="007050C9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uk-UA" w:eastAsia="uk-UA" w:bidi="ar-SA"/>
    </w:rPr>
  </w:style>
  <w:style w:type="character" w:customStyle="1" w:styleId="2">
    <w:name w:val="Основной текст (2)_"/>
    <w:link w:val="21"/>
    <w:locked/>
    <w:rsid w:val="00760169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760169"/>
    <w:pPr>
      <w:widowControl w:val="0"/>
      <w:shd w:val="clear" w:color="auto" w:fill="FFFFFF"/>
      <w:spacing w:after="0" w:line="322" w:lineRule="exact"/>
      <w:jc w:val="both"/>
    </w:pPr>
    <w:rPr>
      <w:sz w:val="28"/>
      <w:szCs w:val="28"/>
    </w:rPr>
  </w:style>
  <w:style w:type="table" w:styleId="a7">
    <w:name w:val="Table Grid"/>
    <w:basedOn w:val="a1"/>
    <w:uiPriority w:val="59"/>
    <w:rsid w:val="005901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Подпись к таблице"/>
    <w:rsid w:val="00B249FD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mvk_ue@zn-rada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3284</Words>
  <Characters>18723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21964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</dc:creator>
  <cp:keywords/>
  <dc:description/>
  <cp:lastModifiedBy>User</cp:lastModifiedBy>
  <cp:revision>2</cp:revision>
  <dcterms:created xsi:type="dcterms:W3CDTF">2021-02-19T08:22:00Z</dcterms:created>
  <dcterms:modified xsi:type="dcterms:W3CDTF">2021-02-19T08:22:00Z</dcterms:modified>
</cp:coreProperties>
</file>