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CEB" w:rsidRDefault="00FD2CEB" w:rsidP="0010049D">
      <w:pPr>
        <w:overflowPunct w:val="0"/>
        <w:autoSpaceDE w:val="0"/>
        <w:autoSpaceDN w:val="0"/>
        <w:adjustRightInd w:val="0"/>
        <w:spacing w:after="0" w:line="240" w:lineRule="auto"/>
        <w:ind w:firstLine="567"/>
        <w:jc w:val="center"/>
        <w:rPr>
          <w:rFonts w:ascii="Times New Roman" w:hAnsi="Times New Roman"/>
          <w:b/>
          <w:bCs/>
          <w:sz w:val="24"/>
          <w:szCs w:val="24"/>
          <w:lang w:val="uk-UA"/>
        </w:rPr>
      </w:pPr>
    </w:p>
    <w:p w:rsidR="0010049D" w:rsidRDefault="0010049D" w:rsidP="0010049D">
      <w:pPr>
        <w:overflowPunct w:val="0"/>
        <w:autoSpaceDE w:val="0"/>
        <w:autoSpaceDN w:val="0"/>
        <w:adjustRightInd w:val="0"/>
        <w:spacing w:after="0" w:line="240" w:lineRule="auto"/>
        <w:ind w:firstLine="567"/>
        <w:jc w:val="center"/>
        <w:rPr>
          <w:rFonts w:ascii="Times New Roman" w:hAnsi="Times New Roman"/>
          <w:b/>
          <w:bCs/>
          <w:sz w:val="24"/>
          <w:szCs w:val="24"/>
          <w:lang w:val="uk-UA"/>
        </w:rPr>
      </w:pPr>
      <w:r>
        <w:rPr>
          <w:rFonts w:ascii="Times New Roman" w:hAnsi="Times New Roman"/>
          <w:b/>
          <w:bCs/>
          <w:sz w:val="24"/>
          <w:szCs w:val="24"/>
          <w:lang w:val="uk-UA"/>
        </w:rPr>
        <w:t xml:space="preserve">Довідка про підсумки роботи із зверненнями громадян, що надійшли </w:t>
      </w:r>
    </w:p>
    <w:p w:rsidR="0010049D" w:rsidRDefault="0010049D" w:rsidP="0010049D">
      <w:pPr>
        <w:overflowPunct w:val="0"/>
        <w:autoSpaceDE w:val="0"/>
        <w:autoSpaceDN w:val="0"/>
        <w:adjustRightInd w:val="0"/>
        <w:spacing w:after="0" w:line="240" w:lineRule="auto"/>
        <w:ind w:firstLine="567"/>
        <w:jc w:val="center"/>
        <w:rPr>
          <w:rFonts w:ascii="Times New Roman" w:hAnsi="Times New Roman"/>
          <w:b/>
          <w:bCs/>
          <w:sz w:val="24"/>
          <w:szCs w:val="24"/>
          <w:lang w:val="uk-UA"/>
        </w:rPr>
      </w:pPr>
      <w:r>
        <w:rPr>
          <w:rFonts w:ascii="Times New Roman" w:hAnsi="Times New Roman"/>
          <w:b/>
          <w:bCs/>
          <w:sz w:val="24"/>
          <w:szCs w:val="24"/>
          <w:lang w:val="uk-UA"/>
        </w:rPr>
        <w:t xml:space="preserve">до виконавчого комітету Знам’янської міської ради </w:t>
      </w:r>
    </w:p>
    <w:p w:rsidR="0010049D" w:rsidRDefault="0010049D" w:rsidP="0010049D">
      <w:pPr>
        <w:overflowPunct w:val="0"/>
        <w:autoSpaceDE w:val="0"/>
        <w:autoSpaceDN w:val="0"/>
        <w:adjustRightInd w:val="0"/>
        <w:spacing w:after="0" w:line="240" w:lineRule="auto"/>
        <w:ind w:firstLine="567"/>
        <w:jc w:val="center"/>
        <w:rPr>
          <w:rFonts w:ascii="Times New Roman" w:hAnsi="Times New Roman"/>
          <w:b/>
          <w:bCs/>
          <w:sz w:val="24"/>
          <w:szCs w:val="24"/>
          <w:lang w:val="uk-UA"/>
        </w:rPr>
      </w:pPr>
      <w:r>
        <w:rPr>
          <w:rFonts w:ascii="Times New Roman" w:hAnsi="Times New Roman"/>
          <w:b/>
          <w:bCs/>
          <w:sz w:val="24"/>
          <w:szCs w:val="24"/>
          <w:lang w:val="uk-UA"/>
        </w:rPr>
        <w:t>протягом І півріччя 2021 року.</w:t>
      </w:r>
    </w:p>
    <w:p w:rsidR="004D5A9F" w:rsidRDefault="0010049D" w:rsidP="0010049D">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Протягом І півріччя 2021 року до виконавчого комітету Знам`янської міської ради надійшло 1091 звернення громадян (у відповідний період 2020 року – 756).</w:t>
      </w:r>
      <w:r w:rsidR="004D5A9F">
        <w:rPr>
          <w:rFonts w:ascii="Times New Roman" w:hAnsi="Times New Roman"/>
          <w:sz w:val="24"/>
          <w:szCs w:val="24"/>
          <w:lang w:val="uk-UA"/>
        </w:rPr>
        <w:t xml:space="preserve"> Порівняно з 2020 роком збільшилось кількість звернень громадян на 335. Переважна більшість порушених питань стосувались</w:t>
      </w:r>
      <w:r w:rsidR="000E5D3B">
        <w:rPr>
          <w:rFonts w:ascii="Times New Roman" w:hAnsi="Times New Roman"/>
          <w:sz w:val="24"/>
          <w:szCs w:val="24"/>
          <w:lang w:val="uk-UA"/>
        </w:rPr>
        <w:t>:</w:t>
      </w:r>
      <w:r w:rsidR="004D5A9F">
        <w:rPr>
          <w:rFonts w:ascii="Times New Roman" w:hAnsi="Times New Roman"/>
          <w:sz w:val="24"/>
          <w:szCs w:val="24"/>
          <w:lang w:val="uk-UA"/>
        </w:rPr>
        <w:t xml:space="preserve"> соціального захисту</w:t>
      </w:r>
      <w:r w:rsidR="000E5D3B">
        <w:rPr>
          <w:rFonts w:ascii="Times New Roman" w:hAnsi="Times New Roman"/>
          <w:sz w:val="24"/>
          <w:szCs w:val="24"/>
          <w:lang w:val="uk-UA"/>
        </w:rPr>
        <w:t xml:space="preserve"> (надання матеріальної допомоги</w:t>
      </w:r>
      <w:r w:rsidR="004D5A9F">
        <w:rPr>
          <w:rFonts w:ascii="Times New Roman" w:hAnsi="Times New Roman"/>
          <w:sz w:val="24"/>
          <w:szCs w:val="24"/>
          <w:lang w:val="uk-UA"/>
        </w:rPr>
        <w:t xml:space="preserve">, </w:t>
      </w:r>
      <w:r w:rsidR="000E5D3B">
        <w:rPr>
          <w:rFonts w:ascii="Times New Roman" w:hAnsi="Times New Roman"/>
          <w:sz w:val="24"/>
          <w:szCs w:val="24"/>
          <w:lang w:val="uk-UA"/>
        </w:rPr>
        <w:t>призначення і виплати соціальн</w:t>
      </w:r>
      <w:r w:rsidR="00115D3D">
        <w:rPr>
          <w:rFonts w:ascii="Times New Roman" w:hAnsi="Times New Roman"/>
          <w:sz w:val="24"/>
          <w:szCs w:val="24"/>
          <w:lang w:val="uk-UA"/>
        </w:rPr>
        <w:t>их</w:t>
      </w:r>
      <w:r w:rsidR="000E5D3B">
        <w:rPr>
          <w:rFonts w:ascii="Times New Roman" w:hAnsi="Times New Roman"/>
          <w:sz w:val="24"/>
          <w:szCs w:val="24"/>
          <w:lang w:val="uk-UA"/>
        </w:rPr>
        <w:t xml:space="preserve"> допомог, субсидій, допомог на дітей), </w:t>
      </w:r>
      <w:r w:rsidR="004D5A9F">
        <w:rPr>
          <w:rFonts w:ascii="Times New Roman" w:hAnsi="Times New Roman"/>
          <w:sz w:val="24"/>
          <w:szCs w:val="24"/>
          <w:lang w:val="uk-UA"/>
        </w:rPr>
        <w:t>земельних питань</w:t>
      </w:r>
      <w:r w:rsidR="000E5D3B">
        <w:rPr>
          <w:rFonts w:ascii="Times New Roman" w:hAnsi="Times New Roman"/>
          <w:sz w:val="24"/>
          <w:szCs w:val="24"/>
          <w:lang w:val="uk-UA"/>
        </w:rPr>
        <w:t xml:space="preserve"> в зв’язку з об’єднанням</w:t>
      </w:r>
      <w:r w:rsidR="00115D3D">
        <w:rPr>
          <w:rFonts w:ascii="Times New Roman" w:hAnsi="Times New Roman"/>
          <w:sz w:val="24"/>
          <w:szCs w:val="24"/>
          <w:lang w:val="uk-UA"/>
        </w:rPr>
        <w:t xml:space="preserve"> територіальних</w:t>
      </w:r>
      <w:r w:rsidR="000E5D3B">
        <w:rPr>
          <w:rFonts w:ascii="Times New Roman" w:hAnsi="Times New Roman"/>
          <w:sz w:val="24"/>
          <w:szCs w:val="24"/>
          <w:lang w:val="uk-UA"/>
        </w:rPr>
        <w:t xml:space="preserve"> громад</w:t>
      </w:r>
      <w:r w:rsidR="004D5A9F">
        <w:rPr>
          <w:rFonts w:ascii="Times New Roman" w:hAnsi="Times New Roman"/>
          <w:sz w:val="24"/>
          <w:szCs w:val="24"/>
          <w:lang w:val="uk-UA"/>
        </w:rPr>
        <w:t xml:space="preserve"> та житлово-комунального господарства</w:t>
      </w:r>
      <w:r w:rsidR="000E5D3B">
        <w:rPr>
          <w:rFonts w:ascii="Times New Roman" w:hAnsi="Times New Roman"/>
          <w:sz w:val="24"/>
          <w:szCs w:val="24"/>
          <w:lang w:val="uk-UA"/>
        </w:rPr>
        <w:t xml:space="preserve"> (санітарний стан, благоустрій прибудинкових</w:t>
      </w:r>
      <w:r w:rsidR="00115D3D">
        <w:rPr>
          <w:rFonts w:ascii="Times New Roman" w:hAnsi="Times New Roman"/>
          <w:sz w:val="24"/>
          <w:szCs w:val="24"/>
          <w:lang w:val="uk-UA"/>
        </w:rPr>
        <w:t xml:space="preserve"> територій, будівництво та ремонт доріг, експлуатація та ремонт житла та </w:t>
      </w:r>
      <w:proofErr w:type="spellStart"/>
      <w:r w:rsidR="00A654BF">
        <w:rPr>
          <w:rFonts w:ascii="Times New Roman" w:hAnsi="Times New Roman"/>
          <w:sz w:val="24"/>
          <w:szCs w:val="24"/>
          <w:lang w:val="uk-UA"/>
        </w:rPr>
        <w:t>ін</w:t>
      </w:r>
      <w:proofErr w:type="spellEnd"/>
      <w:r w:rsidR="00115D3D">
        <w:rPr>
          <w:rFonts w:ascii="Times New Roman" w:hAnsi="Times New Roman"/>
          <w:sz w:val="24"/>
          <w:szCs w:val="24"/>
          <w:lang w:val="uk-UA"/>
        </w:rPr>
        <w:t>)</w:t>
      </w:r>
      <w:r w:rsidR="004D5A9F">
        <w:rPr>
          <w:rFonts w:ascii="Times New Roman" w:hAnsi="Times New Roman"/>
          <w:sz w:val="24"/>
          <w:szCs w:val="24"/>
          <w:lang w:val="uk-UA"/>
        </w:rPr>
        <w:t xml:space="preserve">. </w:t>
      </w:r>
    </w:p>
    <w:p w:rsidR="004D165E" w:rsidRDefault="004D165E" w:rsidP="0010049D">
      <w:pPr>
        <w:overflowPunct w:val="0"/>
        <w:autoSpaceDE w:val="0"/>
        <w:autoSpaceDN w:val="0"/>
        <w:adjustRightInd w:val="0"/>
        <w:spacing w:after="0" w:line="240" w:lineRule="auto"/>
        <w:ind w:left="-142" w:firstLine="709"/>
        <w:jc w:val="both"/>
        <w:rPr>
          <w:rFonts w:ascii="Times New Roman" w:hAnsi="Times New Roman"/>
          <w:sz w:val="24"/>
          <w:szCs w:val="24"/>
          <w:lang w:val="uk-UA"/>
        </w:rPr>
      </w:pPr>
    </w:p>
    <w:p w:rsidR="004D165E" w:rsidRDefault="004D165E" w:rsidP="0010049D">
      <w:pPr>
        <w:overflowPunct w:val="0"/>
        <w:autoSpaceDE w:val="0"/>
        <w:autoSpaceDN w:val="0"/>
        <w:adjustRightInd w:val="0"/>
        <w:spacing w:after="0" w:line="240" w:lineRule="auto"/>
        <w:ind w:left="-142" w:firstLine="709"/>
        <w:jc w:val="both"/>
        <w:rPr>
          <w:rFonts w:ascii="Times New Roman" w:hAnsi="Times New Roman"/>
          <w:sz w:val="24"/>
          <w:szCs w:val="24"/>
          <w:lang w:val="uk-UA"/>
        </w:rPr>
      </w:pPr>
      <w:r w:rsidRPr="004D165E">
        <w:rPr>
          <w:rFonts w:ascii="Times New Roman" w:hAnsi="Times New Roman"/>
          <w:noProof/>
          <w:sz w:val="24"/>
          <w:szCs w:val="24"/>
          <w:lang w:eastAsia="ru-RU"/>
        </w:rPr>
        <w:drawing>
          <wp:inline distT="0" distB="0" distL="0" distR="0">
            <wp:extent cx="4837814" cy="2307265"/>
            <wp:effectExtent l="0" t="0" r="1270" b="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D165E" w:rsidRDefault="004D165E" w:rsidP="0010049D">
      <w:pPr>
        <w:overflowPunct w:val="0"/>
        <w:autoSpaceDE w:val="0"/>
        <w:autoSpaceDN w:val="0"/>
        <w:adjustRightInd w:val="0"/>
        <w:spacing w:after="0" w:line="240" w:lineRule="auto"/>
        <w:ind w:left="-142" w:firstLine="709"/>
        <w:jc w:val="both"/>
        <w:rPr>
          <w:rFonts w:ascii="Times New Roman" w:hAnsi="Times New Roman"/>
          <w:sz w:val="24"/>
          <w:szCs w:val="24"/>
          <w:lang w:val="uk-UA"/>
        </w:rPr>
      </w:pPr>
    </w:p>
    <w:p w:rsidR="0010049D" w:rsidRDefault="0010049D" w:rsidP="0010049D">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 xml:space="preserve">Загальна кількість звернень – 808 надійшло поштою (у відповідний період </w:t>
      </w:r>
      <w:r>
        <w:rPr>
          <w:rFonts w:ascii="Times New Roman" w:hAnsi="Times New Roman"/>
          <w:sz w:val="24"/>
          <w:szCs w:val="24"/>
          <w:lang w:val="uk-UA"/>
        </w:rPr>
        <w:br/>
        <w:t xml:space="preserve">2020 року – 504). </w:t>
      </w:r>
    </w:p>
    <w:p w:rsidR="0010049D" w:rsidRDefault="0010049D" w:rsidP="0010049D">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На особистих прийомах міського голови звернулось 14 громадян (у відповідний період 2020 року – 41).</w:t>
      </w:r>
    </w:p>
    <w:p w:rsidR="0010049D" w:rsidRDefault="0010049D" w:rsidP="0010049D">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Через органи вищого рівня протягом звітного періоду надійшло:</w:t>
      </w:r>
    </w:p>
    <w:p w:rsidR="0010049D" w:rsidRDefault="0010049D" w:rsidP="0010049D">
      <w:pPr>
        <w:numPr>
          <w:ilvl w:val="0"/>
          <w:numId w:val="1"/>
        </w:num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через Кіровоградську ОДА – 29 (у відповідний період 2020 року – 13);</w:t>
      </w:r>
    </w:p>
    <w:p w:rsidR="0010049D" w:rsidRDefault="0010049D" w:rsidP="0010049D">
      <w:pPr>
        <w:numPr>
          <w:ilvl w:val="0"/>
          <w:numId w:val="1"/>
        </w:num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через Обласний контактний центр та Урядову гарячу лінію – 239 (у відповідний період 2020 року – 198).</w:t>
      </w:r>
    </w:p>
    <w:p w:rsidR="007C5C9A" w:rsidRDefault="007C5C9A" w:rsidP="007C5C9A">
      <w:pPr>
        <w:overflowPunct w:val="0"/>
        <w:autoSpaceDE w:val="0"/>
        <w:autoSpaceDN w:val="0"/>
        <w:adjustRightInd w:val="0"/>
        <w:spacing w:after="0" w:line="240" w:lineRule="auto"/>
        <w:jc w:val="both"/>
        <w:rPr>
          <w:rFonts w:ascii="Times New Roman" w:hAnsi="Times New Roman"/>
          <w:sz w:val="24"/>
          <w:szCs w:val="24"/>
          <w:lang w:val="uk-UA"/>
        </w:rPr>
      </w:pPr>
    </w:p>
    <w:p w:rsidR="007C5C9A" w:rsidRDefault="005F53B2" w:rsidP="007C5C9A">
      <w:pPr>
        <w:overflowPunct w:val="0"/>
        <w:autoSpaceDE w:val="0"/>
        <w:autoSpaceDN w:val="0"/>
        <w:adjustRightInd w:val="0"/>
        <w:spacing w:after="0" w:line="240" w:lineRule="auto"/>
        <w:jc w:val="both"/>
        <w:rPr>
          <w:rFonts w:ascii="Times New Roman" w:hAnsi="Times New Roman"/>
          <w:sz w:val="24"/>
          <w:szCs w:val="24"/>
          <w:lang w:val="uk-UA"/>
        </w:rPr>
      </w:pPr>
      <w:r>
        <w:rPr>
          <w:rFonts w:ascii="Times New Roman" w:hAnsi="Times New Roman"/>
          <w:noProof/>
          <w:sz w:val="24"/>
          <w:szCs w:val="24"/>
          <w:lang w:eastAsia="ru-RU"/>
        </w:rPr>
        <w:drawing>
          <wp:inline distT="0" distB="0" distL="0" distR="0">
            <wp:extent cx="5539563" cy="2562447"/>
            <wp:effectExtent l="0" t="0" r="4445"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bookmarkStart w:id="0" w:name="_GoBack"/>
      <w:bookmarkEnd w:id="0"/>
    </w:p>
    <w:p w:rsidR="007C5C9A" w:rsidRDefault="007C5C9A" w:rsidP="007C5C9A">
      <w:pPr>
        <w:overflowPunct w:val="0"/>
        <w:autoSpaceDE w:val="0"/>
        <w:autoSpaceDN w:val="0"/>
        <w:adjustRightInd w:val="0"/>
        <w:spacing w:after="0" w:line="240" w:lineRule="auto"/>
        <w:jc w:val="both"/>
        <w:rPr>
          <w:rFonts w:ascii="Times New Roman" w:hAnsi="Times New Roman"/>
          <w:sz w:val="24"/>
          <w:szCs w:val="24"/>
          <w:lang w:val="uk-UA"/>
        </w:rPr>
      </w:pPr>
    </w:p>
    <w:p w:rsidR="0010049D" w:rsidRDefault="0010049D" w:rsidP="0010049D">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Кількість колективних звернень протягом звітного періоду – 44 (у відповідний період 2020 року – 35), анонімних звернень – 8 (у відповідний період 2020 року – 3).</w:t>
      </w:r>
    </w:p>
    <w:p w:rsidR="0010049D" w:rsidRDefault="0010049D" w:rsidP="0010049D">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lastRenderedPageBreak/>
        <w:t>Кількість громадян, які звернулися – 1777 (у відповідний період 2020 року – 1203).</w:t>
      </w:r>
    </w:p>
    <w:p w:rsidR="0010049D" w:rsidRDefault="0010049D" w:rsidP="0010049D">
      <w:pPr>
        <w:autoSpaceDN w:val="0"/>
        <w:spacing w:after="0" w:line="240" w:lineRule="auto"/>
        <w:ind w:left="-142" w:firstLine="709"/>
        <w:jc w:val="both"/>
        <w:rPr>
          <w:rFonts w:ascii="Times New Roman" w:hAnsi="Times New Roman"/>
          <w:sz w:val="24"/>
          <w:szCs w:val="24"/>
          <w:lang w:val="uk-UA" w:eastAsia="ru-RU"/>
        </w:rPr>
      </w:pPr>
      <w:r>
        <w:rPr>
          <w:rFonts w:ascii="Times New Roman" w:hAnsi="Times New Roman"/>
          <w:sz w:val="24"/>
          <w:szCs w:val="24"/>
          <w:lang w:val="uk-UA" w:eastAsia="ru-RU"/>
        </w:rPr>
        <w:t>Основні питання, що порушувались у зверненнях громадян протягом 2021 року згідно Класифікатора звернень громадян:</w:t>
      </w:r>
    </w:p>
    <w:p w:rsidR="0010049D" w:rsidRDefault="0010049D" w:rsidP="0010049D">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 xml:space="preserve">020 – аграрна політика і земельні відносини - 252 (за відповідний період 2020 року – 95); </w:t>
      </w:r>
    </w:p>
    <w:p w:rsidR="0010049D" w:rsidRDefault="0010049D" w:rsidP="0010049D">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 xml:space="preserve">030 – транспорт і зв`язок – 2 (за відповідний період 2020 року – 10); </w:t>
      </w:r>
    </w:p>
    <w:p w:rsidR="0010049D" w:rsidRDefault="0010049D" w:rsidP="0010049D">
      <w:pPr>
        <w:overflowPunct w:val="0"/>
        <w:autoSpaceDE w:val="0"/>
        <w:autoSpaceDN w:val="0"/>
        <w:adjustRightInd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 xml:space="preserve">040 – економічна, цінова, інвестиційна, зовнішньоекономічна, регіональна політика та будівництво, підприємництво – 15 (за відповідний період 2020 року – 27); </w:t>
      </w:r>
    </w:p>
    <w:p w:rsidR="0010049D" w:rsidRDefault="0010049D" w:rsidP="0010049D">
      <w:pPr>
        <w:overflowPunct w:val="0"/>
        <w:autoSpaceDE w:val="0"/>
        <w:autoSpaceDN w:val="0"/>
        <w:adjustRightInd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050 – фінансова, податкова, митна політика – 1 (за відповідний період 2020 року – 1);</w:t>
      </w:r>
    </w:p>
    <w:p w:rsidR="0010049D" w:rsidRDefault="0010049D" w:rsidP="0010049D">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060 – соціальна політика, соціальний захист – 370 (за відповідний період 2020 року – 328);</w:t>
      </w:r>
    </w:p>
    <w:p w:rsidR="0010049D" w:rsidRDefault="0010049D" w:rsidP="0010049D">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070 – праця і заробітна плата – 98 (за відповідний період 2020 року – 58);</w:t>
      </w:r>
    </w:p>
    <w:p w:rsidR="0010049D" w:rsidRDefault="0010049D" w:rsidP="0010049D">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090 – охорона здоров’я – 68 (за відповідний період 2020 року – 63);</w:t>
      </w:r>
    </w:p>
    <w:p w:rsidR="0010049D" w:rsidRDefault="0010049D" w:rsidP="0010049D">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100 – комунальне господарство – 147 (за відповідний період 2020 року – 86);</w:t>
      </w:r>
    </w:p>
    <w:p w:rsidR="0010049D" w:rsidRDefault="0010049D" w:rsidP="0010049D">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110 – житлова політика – 47 (за відповідний період 2020 року – 25);</w:t>
      </w:r>
    </w:p>
    <w:p w:rsidR="0010049D" w:rsidRDefault="0010049D" w:rsidP="0010049D">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120 – екологія та природні ресурси – 8 (за відповідний період 2020 року – 4);</w:t>
      </w:r>
    </w:p>
    <w:p w:rsidR="0010049D" w:rsidRDefault="0010049D" w:rsidP="0010049D">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130 – забезпечення дотримання законності та охорони правопорядку, реалізації прав і свобод громадян, запобігання дискримінації – 14 (за відповідний період 2020 року – 13);</w:t>
      </w:r>
    </w:p>
    <w:p w:rsidR="0010049D" w:rsidRDefault="0010049D" w:rsidP="0010049D">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140 – сімейна та гендерна політика, захист прав дітей – 20 (за відповідний період</w:t>
      </w:r>
      <w:r>
        <w:rPr>
          <w:rFonts w:ascii="Times New Roman" w:hAnsi="Times New Roman"/>
          <w:sz w:val="24"/>
          <w:szCs w:val="24"/>
          <w:lang w:val="uk-UA" w:eastAsia="ru-RU"/>
        </w:rPr>
        <w:br/>
        <w:t>2020 року – 9);</w:t>
      </w:r>
    </w:p>
    <w:p w:rsidR="0010049D" w:rsidRDefault="0010049D" w:rsidP="0010049D">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150 – молодь, фізична культура і спорт – 2 (за відповідний період 2020 року – 0);</w:t>
      </w:r>
    </w:p>
    <w:p w:rsidR="0010049D" w:rsidRDefault="0010049D" w:rsidP="0010049D">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160 – культура та культурна спадщина, туризм – 2 (за відповідний період 2020 року – 1);</w:t>
      </w:r>
    </w:p>
    <w:p w:rsidR="0010049D" w:rsidRDefault="0010049D" w:rsidP="0010049D">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170 – освіта, наукова, науково-технічна, інноваційна діяльність та інтелектуальна власність – 8 (за відповідний період 2020 року – 1);</w:t>
      </w:r>
    </w:p>
    <w:p w:rsidR="0010049D" w:rsidRDefault="0010049D" w:rsidP="0010049D">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180 – інформаційна політика, діяльність засобів масової інформації – 0(за відповідний період 2020 року -1);</w:t>
      </w:r>
    </w:p>
    <w:p w:rsidR="0010049D" w:rsidRDefault="0010049D" w:rsidP="0010049D">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230 – діяльність органів місцевого самоврядування - 0 (за відповідний період 2020 року - 2);</w:t>
      </w:r>
    </w:p>
    <w:p w:rsidR="0010049D" w:rsidRDefault="0010049D" w:rsidP="0010049D">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270 – інше – 48 (за відповідний період 2020 року – 39).</w:t>
      </w:r>
      <w:r>
        <w:rPr>
          <w:rFonts w:ascii="Times New Roman" w:hAnsi="Times New Roman"/>
          <w:sz w:val="24"/>
          <w:szCs w:val="24"/>
          <w:lang w:val="uk-UA" w:eastAsia="ru-RU"/>
        </w:rPr>
        <w:tab/>
      </w:r>
    </w:p>
    <w:p w:rsidR="007C5C9A" w:rsidRDefault="007C5C9A" w:rsidP="0010049D">
      <w:pPr>
        <w:autoSpaceDN w:val="0"/>
        <w:spacing w:after="0" w:line="240" w:lineRule="auto"/>
        <w:ind w:left="-142"/>
        <w:jc w:val="both"/>
        <w:rPr>
          <w:rFonts w:ascii="Times New Roman" w:hAnsi="Times New Roman"/>
          <w:sz w:val="24"/>
          <w:szCs w:val="24"/>
          <w:lang w:val="uk-UA" w:eastAsia="ru-RU"/>
        </w:rPr>
      </w:pPr>
    </w:p>
    <w:p w:rsidR="007C5C9A" w:rsidRDefault="007C5C9A" w:rsidP="007C5C9A">
      <w:pPr>
        <w:autoSpaceDN w:val="0"/>
        <w:spacing w:after="0" w:line="240" w:lineRule="auto"/>
        <w:ind w:left="-1134"/>
        <w:jc w:val="both"/>
        <w:rPr>
          <w:rFonts w:ascii="Times New Roman" w:hAnsi="Times New Roman"/>
          <w:sz w:val="24"/>
          <w:szCs w:val="24"/>
          <w:lang w:val="uk-UA" w:eastAsia="ru-RU"/>
        </w:rPr>
      </w:pPr>
      <w:r w:rsidRPr="007C5C9A">
        <w:rPr>
          <w:rFonts w:ascii="Times New Roman" w:hAnsi="Times New Roman"/>
          <w:noProof/>
          <w:sz w:val="24"/>
          <w:szCs w:val="24"/>
          <w:lang w:eastAsia="ru-RU"/>
        </w:rPr>
        <w:drawing>
          <wp:inline distT="0" distB="0" distL="0" distR="0">
            <wp:extent cx="6762307" cy="3934046"/>
            <wp:effectExtent l="0" t="0" r="0"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i/>
          <w:sz w:val="24"/>
          <w:szCs w:val="24"/>
          <w:lang w:val="uk-UA" w:eastAsia="ru-RU"/>
        </w:rPr>
        <w:t xml:space="preserve">За соціальним станом авторів звернень: </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пенсіонерів – 151;</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 пенсіонерів з числа військовослужбовців – 15; </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lastRenderedPageBreak/>
        <w:t>- робітників – 31;</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селяни – 1;</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працівники бюджетної сфери – 1;</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державних службовців – 1;</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військовослужбовців – 1;</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підприємців – 14;</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безробітних – 22;</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учнів, студентів – 1;</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інших – 853.</w:t>
      </w:r>
    </w:p>
    <w:p w:rsidR="000477BB" w:rsidRDefault="000477BB" w:rsidP="0010049D">
      <w:pPr>
        <w:autoSpaceDN w:val="0"/>
        <w:spacing w:after="0" w:line="240" w:lineRule="auto"/>
        <w:jc w:val="both"/>
        <w:rPr>
          <w:rFonts w:ascii="Times New Roman" w:hAnsi="Times New Roman"/>
          <w:sz w:val="24"/>
          <w:szCs w:val="24"/>
          <w:lang w:val="uk-UA" w:eastAsia="ru-RU"/>
        </w:rPr>
      </w:pPr>
    </w:p>
    <w:p w:rsidR="000477BB" w:rsidRDefault="000477BB" w:rsidP="0010049D">
      <w:pPr>
        <w:autoSpaceDN w:val="0"/>
        <w:spacing w:after="0" w:line="240" w:lineRule="auto"/>
        <w:jc w:val="both"/>
        <w:rPr>
          <w:rFonts w:ascii="Times New Roman" w:hAnsi="Times New Roman"/>
          <w:sz w:val="24"/>
          <w:szCs w:val="24"/>
          <w:lang w:val="uk-UA" w:eastAsia="ru-RU"/>
        </w:rPr>
      </w:pPr>
      <w:r w:rsidRPr="000477BB">
        <w:rPr>
          <w:rFonts w:ascii="Times New Roman" w:hAnsi="Times New Roman"/>
          <w:noProof/>
          <w:sz w:val="24"/>
          <w:szCs w:val="24"/>
          <w:lang w:eastAsia="ru-RU"/>
        </w:rPr>
        <w:drawing>
          <wp:inline distT="0" distB="0" distL="0" distR="0">
            <wp:extent cx="5986130" cy="4199861"/>
            <wp:effectExtent l="0" t="0" r="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477BB" w:rsidRDefault="000477BB" w:rsidP="0010049D">
      <w:pPr>
        <w:autoSpaceDN w:val="0"/>
        <w:spacing w:after="0" w:line="240" w:lineRule="auto"/>
        <w:jc w:val="both"/>
        <w:rPr>
          <w:rFonts w:ascii="Times New Roman" w:hAnsi="Times New Roman"/>
          <w:sz w:val="24"/>
          <w:szCs w:val="24"/>
          <w:lang w:val="uk-UA" w:eastAsia="ru-RU"/>
        </w:rPr>
      </w:pP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i/>
          <w:sz w:val="24"/>
          <w:szCs w:val="24"/>
          <w:lang w:val="uk-UA" w:eastAsia="ru-RU"/>
        </w:rPr>
        <w:t xml:space="preserve">За категоріями авторів звернень: </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учасників війни – 4;</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дітей війни – 13;</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осіб з інвалідністю внаслідок війни – 1;</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учасників бойових дій – 16;</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ветеранів праці – 4;</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осіб з інвалідністю І групи – 17;</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осіб з інвалідністю ІІ групи – 32;</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осіб з інвалідністю ІІІ групи – 24;</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одиноких матерів – 11;</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 багатодітних сімей – 11; </w:t>
      </w:r>
    </w:p>
    <w:p w:rsidR="0010049D"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учасників ліквідації наслідків аварії на ЧАЕС – 3;</w:t>
      </w:r>
    </w:p>
    <w:p w:rsidR="007D40A0" w:rsidRDefault="0010049D" w:rsidP="0010049D">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 інших категорій – 955. </w:t>
      </w:r>
    </w:p>
    <w:p w:rsidR="007D40A0" w:rsidRDefault="007D40A0">
      <w:pPr>
        <w:rPr>
          <w:rFonts w:ascii="Times New Roman" w:hAnsi="Times New Roman"/>
          <w:sz w:val="24"/>
          <w:szCs w:val="24"/>
          <w:lang w:val="uk-UA" w:eastAsia="ru-RU"/>
        </w:rPr>
      </w:pPr>
      <w:r>
        <w:rPr>
          <w:rFonts w:ascii="Times New Roman" w:hAnsi="Times New Roman"/>
          <w:sz w:val="24"/>
          <w:szCs w:val="24"/>
          <w:lang w:val="uk-UA" w:eastAsia="ru-RU"/>
        </w:rPr>
        <w:br w:type="page"/>
      </w:r>
    </w:p>
    <w:p w:rsidR="0010049D" w:rsidRDefault="007D40A0" w:rsidP="0010049D">
      <w:pPr>
        <w:autoSpaceDN w:val="0"/>
        <w:spacing w:after="0" w:line="240" w:lineRule="auto"/>
        <w:jc w:val="both"/>
        <w:rPr>
          <w:rFonts w:ascii="Times New Roman" w:hAnsi="Times New Roman"/>
          <w:sz w:val="24"/>
          <w:szCs w:val="24"/>
          <w:lang w:val="uk-UA" w:eastAsia="ru-RU"/>
        </w:rPr>
      </w:pPr>
      <w:r w:rsidRPr="007D40A0">
        <w:rPr>
          <w:rFonts w:ascii="Times New Roman" w:hAnsi="Times New Roman"/>
          <w:noProof/>
          <w:sz w:val="24"/>
          <w:szCs w:val="24"/>
          <w:lang w:eastAsia="ru-RU"/>
        </w:rPr>
        <w:lastRenderedPageBreak/>
        <w:drawing>
          <wp:inline distT="0" distB="0" distL="0" distR="0">
            <wp:extent cx="5940425" cy="3247057"/>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D40A0" w:rsidRDefault="007D40A0" w:rsidP="0010049D">
      <w:pPr>
        <w:autoSpaceDN w:val="0"/>
        <w:spacing w:after="0" w:line="240" w:lineRule="auto"/>
        <w:jc w:val="both"/>
        <w:rPr>
          <w:rFonts w:ascii="Times New Roman" w:hAnsi="Times New Roman"/>
          <w:sz w:val="24"/>
          <w:szCs w:val="24"/>
          <w:lang w:val="uk-UA" w:eastAsia="ru-RU"/>
        </w:rPr>
      </w:pP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Всі звернення розглянуті, дані відповідні доручення виконавцям. Найактуальнішими та пріоритетними питаннями були питання соціального захисту. Кількість звернень у яких порушено питання становить – 370 (у порівняні з 2020 роком – 328), найбільше це питання: надання матеріальної допомоги на лікування, соціально-побутові питання, призначення та виплати соціальної допомоги, субсидій, правильності їх нарахування та ін.</w:t>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 xml:space="preserve">Актуальними залишаються питання надання земельних ділянок, набуття права власності на землю, поновлення терміну дії оренди землі, надання дозволу на виготовлення проекту землеустрою. </w:t>
      </w:r>
      <w:r w:rsidR="00602838">
        <w:rPr>
          <w:rFonts w:ascii="Times New Roman" w:hAnsi="Times New Roman"/>
          <w:sz w:val="24"/>
          <w:szCs w:val="24"/>
          <w:lang w:val="uk-UA" w:eastAsia="ru-RU"/>
        </w:rPr>
        <w:t>Кількість</w:t>
      </w:r>
      <w:r>
        <w:rPr>
          <w:rFonts w:ascii="Times New Roman" w:hAnsi="Times New Roman"/>
          <w:sz w:val="24"/>
          <w:szCs w:val="24"/>
          <w:lang w:val="uk-UA" w:eastAsia="ru-RU"/>
        </w:rPr>
        <w:t xml:space="preserve"> звернень, у яких порушувались земельні питання становить 252 (за відповідний період 2020 року надійшло - 95). </w:t>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Проведений аналіз звернень, які надійшли до виконавчого комітету, підтвердив актуальність питань житлово-комунального господарства, а саме: проведення ремонту житлових будинків, ремонту покрівель, під’їздів, відмосток, внутрішньо-будинкових мереж водопостачання та електропостачання, ремонт доріг та тротуарів, відновлення зовнішнього освітлення, санітарний стан прибудинкових територій та ін. Протягом звітного періоду кількість таких звернень становила – 147 (у порівнянні з аналогічним періодом 2020 року – 86).</w:t>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 xml:space="preserve">Зверненням громадян приділяється належна увага. У кожному випадку заявникам надається допомога або вишукуються шляхи вирішення їх проблем, надаються аргументовані відповіді та роз`яснення. </w:t>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До управління соціального захисту населення виконавчого комітету Знам’янської міської ради надійшло 370 письмових звернень громадян, безпосередньо до управління -43. В зверненнях найчастіше мешканці міста порушували питання: надання матеріальної допомоги на лікування, придбання ліків; нарахування субсидій на житлово-комунальні послуги; призначення та виплата державних соціальних допомог; надання пільг за фактичним місцем проживання.</w:t>
      </w:r>
    </w:p>
    <w:p w:rsidR="0010049D" w:rsidRDefault="0010049D" w:rsidP="0010049D">
      <w:pPr>
        <w:shd w:val="clear" w:color="auto" w:fill="FFFFFF"/>
        <w:spacing w:after="0" w:line="240" w:lineRule="auto"/>
        <w:ind w:firstLine="450"/>
        <w:jc w:val="both"/>
        <w:rPr>
          <w:rFonts w:ascii="Times New Roman" w:eastAsia="Times New Roman" w:hAnsi="Times New Roman"/>
          <w:color w:val="000000"/>
          <w:spacing w:val="-2"/>
          <w:sz w:val="24"/>
          <w:szCs w:val="24"/>
          <w:lang w:val="uk-UA" w:eastAsia="ru-RU"/>
        </w:rPr>
      </w:pPr>
      <w:r>
        <w:rPr>
          <w:rFonts w:ascii="Times New Roman" w:eastAsia="Times New Roman" w:hAnsi="Times New Roman"/>
          <w:color w:val="000000"/>
          <w:sz w:val="24"/>
          <w:szCs w:val="24"/>
          <w:lang w:val="uk-UA" w:eastAsia="ru-RU"/>
        </w:rPr>
        <w:t xml:space="preserve">Протягом звітного періоду прийнято рішення про надання соціальних  послуг: </w:t>
      </w:r>
      <w:r>
        <w:rPr>
          <w:rFonts w:ascii="Times New Roman" w:eastAsia="Times New Roman" w:hAnsi="Times New Roman"/>
          <w:color w:val="000000"/>
          <w:spacing w:val="-2"/>
          <w:sz w:val="24"/>
          <w:szCs w:val="24"/>
          <w:lang w:val="uk-UA" w:eastAsia="ru-RU"/>
        </w:rPr>
        <w:t>догляд вдома  - 50 особам;  догляд стаціонарний - 6 особам; консультування</w:t>
      </w:r>
      <w:r>
        <w:rPr>
          <w:rFonts w:ascii="Times New Roman" w:eastAsia="Times New Roman" w:hAnsi="Times New Roman"/>
          <w:color w:val="000000"/>
          <w:sz w:val="24"/>
          <w:szCs w:val="24"/>
          <w:lang w:val="uk-UA" w:eastAsia="ru-RU"/>
        </w:rPr>
        <w:t xml:space="preserve"> - 5 особам; </w:t>
      </w:r>
      <w:r>
        <w:rPr>
          <w:rFonts w:ascii="Times New Roman" w:eastAsia="Times New Roman" w:hAnsi="Times New Roman"/>
          <w:color w:val="000000"/>
          <w:spacing w:val="-2"/>
          <w:sz w:val="24"/>
          <w:szCs w:val="24"/>
          <w:lang w:val="uk-UA" w:eastAsia="ru-RU"/>
        </w:rPr>
        <w:t>соціальний супровід сімей/осіб, які перебувають у складних життєвих обставинах - 2.</w:t>
      </w:r>
      <w:bookmarkStart w:id="1" w:name="n68"/>
      <w:bookmarkStart w:id="2" w:name="n72"/>
      <w:bookmarkStart w:id="3" w:name="n79"/>
      <w:bookmarkStart w:id="4" w:name="n80"/>
      <w:bookmarkEnd w:id="1"/>
      <w:bookmarkEnd w:id="2"/>
      <w:bookmarkEnd w:id="3"/>
      <w:bookmarkEnd w:id="4"/>
    </w:p>
    <w:p w:rsidR="0010049D" w:rsidRDefault="0010049D" w:rsidP="0010049D">
      <w:pPr>
        <w:shd w:val="clear" w:color="auto" w:fill="FFFFFF"/>
        <w:spacing w:after="0" w:line="240" w:lineRule="auto"/>
        <w:ind w:firstLine="45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«Соціальним таксі» виконано 47 замовлень доставка 39 ветеранів та осіб з інвалідністю до медичних закладів міста і області, протезного цеху, Кіровоградського обласного госпіталю для ветеранів війни, </w:t>
      </w:r>
      <w:proofErr w:type="spellStart"/>
      <w:r>
        <w:rPr>
          <w:rFonts w:ascii="Times New Roman" w:eastAsia="Times New Roman" w:hAnsi="Times New Roman"/>
          <w:sz w:val="24"/>
          <w:szCs w:val="24"/>
          <w:lang w:val="uk-UA" w:eastAsia="ru-RU"/>
        </w:rPr>
        <w:t>ЛТЕКів</w:t>
      </w:r>
      <w:proofErr w:type="spellEnd"/>
      <w:r>
        <w:rPr>
          <w:rFonts w:ascii="Times New Roman" w:eastAsia="Times New Roman" w:hAnsi="Times New Roman"/>
          <w:sz w:val="24"/>
          <w:szCs w:val="24"/>
          <w:lang w:val="uk-UA" w:eastAsia="ru-RU"/>
        </w:rPr>
        <w:t xml:space="preserve">. </w:t>
      </w:r>
    </w:p>
    <w:p w:rsidR="0010049D" w:rsidRDefault="0010049D" w:rsidP="0010049D">
      <w:pPr>
        <w:spacing w:after="0" w:line="240" w:lineRule="auto"/>
        <w:ind w:firstLine="705"/>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Обстежено житлово-побутові умови проживання 75 пенсіонерів та осіб з інвалідністю, з них 48 осіб, які потребували сторонньої допомоги, прийнято на обслуговування відділенням соціальної допомоги вдома, припинено надання соціальної послуги догляду вдома з різних причин 46 особам. З метою контролю якості обслуговування та визначення ступеня індивідуальних потреб здійснені обстеження умов проживання 82 осіб, які перебувають на обліку терцентру.</w:t>
      </w:r>
    </w:p>
    <w:p w:rsidR="0010049D" w:rsidRDefault="0010049D" w:rsidP="0010049D">
      <w:pPr>
        <w:spacing w:after="0" w:line="240" w:lineRule="auto"/>
        <w:ind w:firstLine="705"/>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У Центрі соціальних та компенсаційних виплат нараховується </w:t>
      </w:r>
      <w:r>
        <w:rPr>
          <w:rFonts w:ascii="Times New Roman" w:eastAsia="Times New Roman" w:hAnsi="Times New Roman"/>
          <w:sz w:val="24"/>
          <w:szCs w:val="24"/>
          <w:lang w:eastAsia="ru-RU"/>
        </w:rPr>
        <w:t>2615</w:t>
      </w:r>
      <w:r>
        <w:rPr>
          <w:rFonts w:ascii="Times New Roman" w:eastAsia="Times New Roman" w:hAnsi="Times New Roman"/>
          <w:sz w:val="24"/>
          <w:szCs w:val="24"/>
          <w:lang w:val="uk-UA" w:eastAsia="ru-RU"/>
        </w:rPr>
        <w:t xml:space="preserve"> отримувачів адресних допомог, в тому числі: адресних соціальних допомог – </w:t>
      </w:r>
      <w:r>
        <w:rPr>
          <w:rFonts w:ascii="Times New Roman" w:eastAsia="Times New Roman" w:hAnsi="Times New Roman"/>
          <w:sz w:val="24"/>
          <w:szCs w:val="24"/>
          <w:lang w:eastAsia="ru-RU"/>
        </w:rPr>
        <w:t>2158</w:t>
      </w:r>
      <w:r>
        <w:rPr>
          <w:rFonts w:ascii="Times New Roman" w:eastAsia="Times New Roman" w:hAnsi="Times New Roman"/>
          <w:sz w:val="24"/>
          <w:szCs w:val="24"/>
          <w:lang w:val="uk-UA" w:eastAsia="ru-RU"/>
        </w:rPr>
        <w:t xml:space="preserve">; субсидій </w:t>
      </w:r>
      <w:r>
        <w:rPr>
          <w:rFonts w:ascii="Times New Roman" w:eastAsia="Times New Roman" w:hAnsi="Times New Roman"/>
          <w:sz w:val="24"/>
          <w:szCs w:val="24"/>
          <w:lang w:eastAsia="ru-RU"/>
        </w:rPr>
        <w:t>-180</w:t>
      </w:r>
      <w:r>
        <w:rPr>
          <w:rFonts w:ascii="Times New Roman" w:eastAsia="Times New Roman" w:hAnsi="Times New Roman"/>
          <w:sz w:val="24"/>
          <w:szCs w:val="24"/>
          <w:lang w:val="uk-UA" w:eastAsia="ru-RU"/>
        </w:rPr>
        <w:t xml:space="preserve">; компенсацій постраждалим внаслідок аварії на ЧАЕС – </w:t>
      </w:r>
      <w:r>
        <w:rPr>
          <w:rFonts w:ascii="Times New Roman" w:eastAsia="Times New Roman" w:hAnsi="Times New Roman"/>
          <w:sz w:val="24"/>
          <w:szCs w:val="24"/>
          <w:lang w:eastAsia="ru-RU"/>
        </w:rPr>
        <w:t>151</w:t>
      </w:r>
      <w:r>
        <w:rPr>
          <w:rFonts w:ascii="Times New Roman" w:eastAsia="Times New Roman" w:hAnsi="Times New Roman"/>
          <w:sz w:val="24"/>
          <w:szCs w:val="24"/>
          <w:lang w:val="uk-UA" w:eastAsia="ru-RU"/>
        </w:rPr>
        <w:t>; допомога переміщеним особам – 126.</w:t>
      </w:r>
    </w:p>
    <w:p w:rsidR="0010049D" w:rsidRDefault="0010049D" w:rsidP="0010049D">
      <w:pPr>
        <w:spacing w:after="0" w:line="240" w:lineRule="auto"/>
        <w:ind w:firstLine="705"/>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Призначено допомог згідно Законів України «Про державну допомогу сім’ям з дітьми» та «Державну соціальну допомогу малозабезпеченим сім’ям» 1137 сім’ям на суму 32385.0 тис. грн., у тому числі державну соціальну допомогу дітям з інвалідністю та особам з інвалідністю з дитинства І-ІІІ груп отримали 468 осіб на суму 6711,6тис. грн., тимчасову допомогу сім’ям з дітьми (замість аліментів) –11 осіб на суму 72,8тис. грн. Допомогу по догляду за психічно-хворими особами з інвалідністю І та ІІ груп отримують </w:t>
      </w:r>
      <w:r>
        <w:rPr>
          <w:rFonts w:ascii="Times New Roman" w:eastAsia="Times New Roman" w:hAnsi="Times New Roman"/>
          <w:sz w:val="24"/>
          <w:szCs w:val="24"/>
          <w:lang w:eastAsia="ru-RU"/>
        </w:rPr>
        <w:t>66</w:t>
      </w:r>
      <w:r>
        <w:rPr>
          <w:rFonts w:ascii="Times New Roman" w:eastAsia="Times New Roman" w:hAnsi="Times New Roman"/>
          <w:sz w:val="24"/>
          <w:szCs w:val="24"/>
          <w:lang w:val="uk-UA" w:eastAsia="ru-RU"/>
        </w:rPr>
        <w:t xml:space="preserve"> осіб.</w:t>
      </w:r>
    </w:p>
    <w:p w:rsidR="0010049D" w:rsidRDefault="0010049D" w:rsidP="0010049D">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Станом на звітну дату профінансовано субвенції з державного бюджету на надання населенню пільг та субсидій на житлово-комунальні послуги, придбання твердого палива і скрапленого газу на суму </w:t>
      </w:r>
      <w:r>
        <w:rPr>
          <w:rFonts w:ascii="Times New Roman" w:hAnsi="Times New Roman"/>
          <w:sz w:val="24"/>
          <w:szCs w:val="24"/>
        </w:rPr>
        <w:t xml:space="preserve"> 30111.99</w:t>
      </w:r>
      <w:r>
        <w:rPr>
          <w:rFonts w:ascii="Times New Roman" w:hAnsi="Times New Roman"/>
          <w:sz w:val="24"/>
          <w:szCs w:val="24"/>
          <w:lang w:val="uk-UA"/>
        </w:rPr>
        <w:t xml:space="preserve"> тис. грн.</w:t>
      </w:r>
    </w:p>
    <w:p w:rsidR="0010049D" w:rsidRDefault="0010049D" w:rsidP="0010049D">
      <w:pPr>
        <w:spacing w:after="0" w:line="240" w:lineRule="auto"/>
        <w:ind w:firstLine="748"/>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 обліку в УСЗН перебуває 27</w:t>
      </w:r>
      <w:r>
        <w:rPr>
          <w:rFonts w:ascii="Times New Roman" w:eastAsia="Times New Roman" w:hAnsi="Times New Roman"/>
          <w:sz w:val="24"/>
          <w:szCs w:val="24"/>
          <w:lang w:eastAsia="ru-RU"/>
        </w:rPr>
        <w:t>7</w:t>
      </w:r>
      <w:r>
        <w:rPr>
          <w:rFonts w:ascii="Times New Roman" w:eastAsia="Times New Roman" w:hAnsi="Times New Roman"/>
          <w:sz w:val="24"/>
          <w:szCs w:val="24"/>
          <w:lang w:val="uk-UA" w:eastAsia="ru-RU"/>
        </w:rPr>
        <w:t xml:space="preserve"> внутрішньо переміщених осіб з тимчасово окупованої території України та районів проведення АТО/ООС. Довідки про взяття на облік видано 5</w:t>
      </w:r>
      <w:r>
        <w:rPr>
          <w:rFonts w:ascii="Times New Roman" w:eastAsia="Times New Roman" w:hAnsi="Times New Roman"/>
          <w:sz w:val="24"/>
          <w:szCs w:val="24"/>
          <w:lang w:eastAsia="ru-RU"/>
        </w:rPr>
        <w:t>31</w:t>
      </w:r>
      <w:r>
        <w:rPr>
          <w:rFonts w:ascii="Times New Roman" w:eastAsia="Times New Roman" w:hAnsi="Times New Roman"/>
          <w:sz w:val="24"/>
          <w:szCs w:val="24"/>
          <w:lang w:val="uk-UA" w:eastAsia="ru-RU"/>
        </w:rPr>
        <w:t xml:space="preserve"> </w:t>
      </w:r>
      <w:proofErr w:type="spellStart"/>
      <w:r>
        <w:rPr>
          <w:rFonts w:ascii="Times New Roman" w:eastAsia="Times New Roman" w:hAnsi="Times New Roman"/>
          <w:sz w:val="24"/>
          <w:szCs w:val="24"/>
          <w:lang w:val="uk-UA" w:eastAsia="ru-RU"/>
        </w:rPr>
        <w:t>особ</w:t>
      </w:r>
      <w:proofErr w:type="spellEnd"/>
      <w:r>
        <w:rPr>
          <w:rFonts w:ascii="Times New Roman" w:eastAsia="Times New Roman" w:hAnsi="Times New Roman"/>
          <w:sz w:val="24"/>
          <w:szCs w:val="24"/>
          <w:lang w:eastAsia="ru-RU"/>
        </w:rPr>
        <w:t>і</w:t>
      </w:r>
      <w:r>
        <w:rPr>
          <w:rFonts w:ascii="Times New Roman" w:eastAsia="Times New Roman" w:hAnsi="Times New Roman"/>
          <w:sz w:val="24"/>
          <w:szCs w:val="24"/>
          <w:lang w:val="uk-UA" w:eastAsia="ru-RU"/>
        </w:rPr>
        <w:t>. Відповідно до постанови Кабінету Міністрів Україна від 01.10.2014 року № 505 «Про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 станом на 25.</w:t>
      </w:r>
      <w:r>
        <w:rPr>
          <w:rFonts w:ascii="Times New Roman" w:eastAsia="Times New Roman" w:hAnsi="Times New Roman"/>
          <w:sz w:val="24"/>
          <w:szCs w:val="24"/>
          <w:lang w:eastAsia="ru-RU"/>
        </w:rPr>
        <w:t>0</w:t>
      </w:r>
      <w:r>
        <w:rPr>
          <w:rFonts w:ascii="Times New Roman" w:eastAsia="Times New Roman" w:hAnsi="Times New Roman"/>
          <w:sz w:val="24"/>
          <w:szCs w:val="24"/>
          <w:lang w:val="uk-UA" w:eastAsia="ru-RU"/>
        </w:rPr>
        <w:t>6.202</w:t>
      </w:r>
      <w:r>
        <w:rPr>
          <w:rFonts w:ascii="Times New Roman" w:eastAsia="Times New Roman" w:hAnsi="Times New Roman"/>
          <w:sz w:val="24"/>
          <w:szCs w:val="24"/>
          <w:lang w:eastAsia="ru-RU"/>
        </w:rPr>
        <w:t>1</w:t>
      </w:r>
      <w:r>
        <w:rPr>
          <w:rFonts w:ascii="Times New Roman" w:eastAsia="Times New Roman" w:hAnsi="Times New Roman"/>
          <w:sz w:val="24"/>
          <w:szCs w:val="24"/>
          <w:lang w:val="uk-UA" w:eastAsia="ru-RU"/>
        </w:rPr>
        <w:t xml:space="preserve"> року таку допомогу отримують 88 сімей (1</w:t>
      </w:r>
      <w:r>
        <w:rPr>
          <w:rFonts w:ascii="Times New Roman" w:eastAsia="Times New Roman" w:hAnsi="Times New Roman"/>
          <w:sz w:val="24"/>
          <w:szCs w:val="24"/>
          <w:lang w:eastAsia="ru-RU"/>
        </w:rPr>
        <w:t>30</w:t>
      </w:r>
      <w:r>
        <w:rPr>
          <w:rFonts w:ascii="Times New Roman" w:eastAsia="Times New Roman" w:hAnsi="Times New Roman"/>
          <w:sz w:val="24"/>
          <w:szCs w:val="24"/>
          <w:lang w:val="uk-UA" w:eastAsia="ru-RU"/>
        </w:rPr>
        <w:t xml:space="preserve"> осіб), з початку року  виплачено 705,2 тис. грн.</w:t>
      </w:r>
    </w:p>
    <w:p w:rsidR="0010049D" w:rsidRDefault="0010049D" w:rsidP="0010049D">
      <w:pPr>
        <w:spacing w:after="0" w:line="240" w:lineRule="auto"/>
        <w:ind w:firstLine="708"/>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На обліку в управлінні перебуває 2 прийомні сім’ї, що отримують допомогу за принципом «гроші ходять за дитиною», 8 дитячих будинків сімейного типу, 2 патронатні сім’ї. За звітний період цим сім’ям виплачено 3395,6тис. грн. </w:t>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Спеціалісти управління постійно проводять інформаційно-роз’яснювальну роботу серед населення міста щодо соціального захисту населення та роботи управління через засоби масової інформації.</w:t>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Протягом І півріччя було проведено 6 засідань міської постійно діючої комісії виконавчого комітету Знам’янської міської ради з питань розгляду звернень громадян, згідно графіку. За результатами проведених перевірок складено довідки та розглянуто їх на засіданнях міської постійно діючої комісії з питань розгляду звернень громадян. Начальникам управлінь, відділів, служб, центрів виконавчого комітету Знам’янської міської ради рекомендовано здійснювати контроль за дотриманням термінів при розгляді звернень громадян, якості та вичерпності відповідей, звертати увагу на недопущення надання неоднозначних, необґрунтованих або неповних відповідей заявника.</w:t>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Забезпечено оперативний розгляд звернень та своєчасне інформування заявників. Відсутні зауваження щодо організації роботи із зверненнями громадян у виконавчому комітеті Знам’янської міської ради. Згідно інформації щодо реагування на звернення громадян, які надійшли протягом І півріччя 2021 року:</w:t>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539 - позитивно вирішених звернень;</w:t>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426 – дано роз’яснення;</w:t>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 xml:space="preserve">2 – </w:t>
      </w:r>
      <w:proofErr w:type="spellStart"/>
      <w:r>
        <w:rPr>
          <w:rFonts w:ascii="Times New Roman" w:hAnsi="Times New Roman"/>
          <w:sz w:val="24"/>
          <w:szCs w:val="24"/>
        </w:rPr>
        <w:t>надіслано</w:t>
      </w:r>
      <w:proofErr w:type="spellEnd"/>
      <w:r>
        <w:rPr>
          <w:rFonts w:ascii="Times New Roman" w:hAnsi="Times New Roman"/>
          <w:sz w:val="24"/>
          <w:szCs w:val="24"/>
        </w:rPr>
        <w:t xml:space="preserve"> за </w:t>
      </w:r>
      <w:proofErr w:type="spellStart"/>
      <w:r>
        <w:rPr>
          <w:rFonts w:ascii="Times New Roman" w:hAnsi="Times New Roman"/>
          <w:sz w:val="24"/>
          <w:szCs w:val="24"/>
        </w:rPr>
        <w:t>належністю</w:t>
      </w:r>
      <w:proofErr w:type="spellEnd"/>
      <w:r>
        <w:rPr>
          <w:rFonts w:ascii="Times New Roman" w:hAnsi="Times New Roman"/>
          <w:sz w:val="24"/>
          <w:szCs w:val="24"/>
        </w:rPr>
        <w:t xml:space="preserve"> (ст. </w:t>
      </w:r>
      <w:proofErr w:type="gramStart"/>
      <w:r>
        <w:rPr>
          <w:rFonts w:ascii="Times New Roman" w:hAnsi="Times New Roman"/>
          <w:sz w:val="24"/>
          <w:szCs w:val="24"/>
        </w:rPr>
        <w:t xml:space="preserve">7 Закону </w:t>
      </w:r>
      <w:proofErr w:type="spellStart"/>
      <w:r>
        <w:rPr>
          <w:rFonts w:ascii="Times New Roman" w:hAnsi="Times New Roman"/>
          <w:sz w:val="24"/>
          <w:szCs w:val="24"/>
        </w:rPr>
        <w:t>України</w:t>
      </w:r>
      <w:proofErr w:type="spellEnd"/>
      <w:r>
        <w:rPr>
          <w:rFonts w:ascii="Times New Roman" w:hAnsi="Times New Roman"/>
          <w:sz w:val="24"/>
          <w:szCs w:val="24"/>
        </w:rPr>
        <w:t xml:space="preserve"> "Про </w:t>
      </w:r>
      <w:proofErr w:type="spellStart"/>
      <w:r>
        <w:rPr>
          <w:rFonts w:ascii="Times New Roman" w:hAnsi="Times New Roman"/>
          <w:sz w:val="24"/>
          <w:szCs w:val="24"/>
        </w:rPr>
        <w:t>звернення</w:t>
      </w:r>
      <w:proofErr w:type="spellEnd"/>
      <w:r>
        <w:rPr>
          <w:rFonts w:ascii="Times New Roman" w:hAnsi="Times New Roman"/>
          <w:sz w:val="24"/>
          <w:szCs w:val="24"/>
        </w:rPr>
        <w:t xml:space="preserve"> </w:t>
      </w:r>
      <w:proofErr w:type="spellStart"/>
      <w:r>
        <w:rPr>
          <w:rFonts w:ascii="Times New Roman" w:hAnsi="Times New Roman"/>
          <w:sz w:val="24"/>
          <w:szCs w:val="24"/>
        </w:rPr>
        <w:t>громадян</w:t>
      </w:r>
      <w:proofErr w:type="spellEnd"/>
      <w:r>
        <w:rPr>
          <w:rFonts w:ascii="Times New Roman" w:hAnsi="Times New Roman"/>
          <w:sz w:val="24"/>
          <w:szCs w:val="24"/>
        </w:rPr>
        <w:t>")</w:t>
      </w:r>
      <w:r>
        <w:rPr>
          <w:rFonts w:ascii="Times New Roman" w:hAnsi="Times New Roman"/>
          <w:sz w:val="24"/>
          <w:szCs w:val="24"/>
          <w:lang w:val="uk-UA"/>
        </w:rPr>
        <w:t>;</w:t>
      </w:r>
      <w:proofErr w:type="gramEnd"/>
    </w:p>
    <w:p w:rsidR="005F53B2"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124 – заходи вживаються.</w:t>
      </w:r>
    </w:p>
    <w:p w:rsidR="005F53B2" w:rsidRDefault="005F53B2">
      <w:pPr>
        <w:rPr>
          <w:rFonts w:ascii="Times New Roman" w:hAnsi="Times New Roman"/>
          <w:sz w:val="24"/>
          <w:szCs w:val="24"/>
          <w:lang w:val="uk-UA" w:eastAsia="ru-RU"/>
        </w:rPr>
      </w:pPr>
      <w:r>
        <w:rPr>
          <w:rFonts w:ascii="Times New Roman" w:hAnsi="Times New Roman"/>
          <w:sz w:val="24"/>
          <w:szCs w:val="24"/>
          <w:lang w:val="uk-UA" w:eastAsia="ru-RU"/>
        </w:rPr>
        <w:br w:type="page"/>
      </w:r>
      <w:r>
        <w:rPr>
          <w:rFonts w:ascii="Times New Roman" w:hAnsi="Times New Roman"/>
          <w:noProof/>
          <w:sz w:val="24"/>
          <w:szCs w:val="24"/>
          <w:lang w:eastAsia="ru-RU"/>
        </w:rPr>
        <w:lastRenderedPageBreak/>
        <w:drawing>
          <wp:inline distT="0" distB="0" distL="0" distR="0">
            <wp:extent cx="5488615" cy="2179674"/>
            <wp:effectExtent l="1905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64755" w:rsidRPr="00764755" w:rsidRDefault="00764755" w:rsidP="00764755">
      <w:pPr>
        <w:autoSpaceDN w:val="0"/>
        <w:spacing w:after="0" w:line="240" w:lineRule="auto"/>
        <w:ind w:firstLine="708"/>
        <w:jc w:val="both"/>
        <w:rPr>
          <w:rFonts w:ascii="Times New Roman" w:hAnsi="Times New Roman"/>
          <w:sz w:val="24"/>
          <w:szCs w:val="24"/>
          <w:lang w:val="uk-UA" w:eastAsia="ru-RU"/>
        </w:rPr>
      </w:pPr>
      <w:r w:rsidRPr="00764755">
        <w:rPr>
          <w:rFonts w:ascii="Times New Roman" w:hAnsi="Times New Roman"/>
          <w:sz w:val="24"/>
          <w:szCs w:val="24"/>
          <w:lang w:val="uk-UA" w:eastAsia="ru-RU"/>
        </w:rPr>
        <w:t>Відділом загальним, контролю та роботи із зверненнями громадян здійснювалась реєстрація запитів на отримання публічної інформації згідно з законом України «Про доступ до публічної інформації». Так, протягом</w:t>
      </w:r>
      <w:r>
        <w:rPr>
          <w:rFonts w:ascii="Times New Roman" w:hAnsi="Times New Roman"/>
          <w:sz w:val="24"/>
          <w:szCs w:val="24"/>
          <w:lang w:val="uk-UA" w:eastAsia="ru-RU"/>
        </w:rPr>
        <w:t xml:space="preserve"> І </w:t>
      </w:r>
      <w:r w:rsidR="001B31B1">
        <w:rPr>
          <w:rFonts w:ascii="Times New Roman" w:hAnsi="Times New Roman"/>
          <w:sz w:val="24"/>
          <w:szCs w:val="24"/>
          <w:lang w:val="uk-UA" w:eastAsia="ru-RU"/>
        </w:rPr>
        <w:t>півріччя</w:t>
      </w:r>
      <w:r w:rsidRPr="00764755">
        <w:rPr>
          <w:rFonts w:ascii="Times New Roman" w:hAnsi="Times New Roman"/>
          <w:sz w:val="24"/>
          <w:szCs w:val="24"/>
          <w:lang w:val="uk-UA" w:eastAsia="ru-RU"/>
        </w:rPr>
        <w:t xml:space="preserve"> 202</w:t>
      </w:r>
      <w:r>
        <w:rPr>
          <w:rFonts w:ascii="Times New Roman" w:hAnsi="Times New Roman"/>
          <w:sz w:val="24"/>
          <w:szCs w:val="24"/>
          <w:lang w:val="uk-UA" w:eastAsia="ru-RU"/>
        </w:rPr>
        <w:t>1</w:t>
      </w:r>
      <w:r w:rsidRPr="00764755">
        <w:rPr>
          <w:rFonts w:ascii="Times New Roman" w:hAnsi="Times New Roman"/>
          <w:sz w:val="24"/>
          <w:szCs w:val="24"/>
          <w:lang w:val="uk-UA" w:eastAsia="ru-RU"/>
        </w:rPr>
        <w:t xml:space="preserve"> року запитів на отримання публічної інформації було зареєстровано – </w:t>
      </w:r>
      <w:r>
        <w:rPr>
          <w:rFonts w:ascii="Times New Roman" w:hAnsi="Times New Roman"/>
          <w:sz w:val="24"/>
          <w:szCs w:val="24"/>
          <w:lang w:val="uk-UA" w:eastAsia="ru-RU"/>
        </w:rPr>
        <w:t>46</w:t>
      </w:r>
      <w:r w:rsidRPr="00764755">
        <w:rPr>
          <w:rFonts w:ascii="Times New Roman" w:hAnsi="Times New Roman"/>
          <w:sz w:val="24"/>
          <w:szCs w:val="24"/>
          <w:lang w:val="uk-UA" w:eastAsia="ru-RU"/>
        </w:rPr>
        <w:t>, за відповідний період 20</w:t>
      </w:r>
      <w:r w:rsidR="00602838">
        <w:rPr>
          <w:rFonts w:ascii="Times New Roman" w:hAnsi="Times New Roman"/>
          <w:sz w:val="24"/>
          <w:szCs w:val="24"/>
          <w:lang w:val="uk-UA" w:eastAsia="ru-RU"/>
        </w:rPr>
        <w:t>20</w:t>
      </w:r>
      <w:r w:rsidRPr="00764755">
        <w:rPr>
          <w:rFonts w:ascii="Times New Roman" w:hAnsi="Times New Roman"/>
          <w:sz w:val="24"/>
          <w:szCs w:val="24"/>
          <w:lang w:val="uk-UA" w:eastAsia="ru-RU"/>
        </w:rPr>
        <w:t xml:space="preserve"> року – </w:t>
      </w:r>
      <w:r w:rsidR="00602838">
        <w:rPr>
          <w:rFonts w:ascii="Times New Roman" w:hAnsi="Times New Roman"/>
          <w:sz w:val="24"/>
          <w:szCs w:val="24"/>
          <w:lang w:val="uk-UA" w:eastAsia="ru-RU"/>
        </w:rPr>
        <w:t xml:space="preserve">                        </w:t>
      </w:r>
      <w:r>
        <w:rPr>
          <w:rFonts w:ascii="Times New Roman" w:hAnsi="Times New Roman"/>
          <w:sz w:val="24"/>
          <w:szCs w:val="24"/>
          <w:lang w:val="uk-UA" w:eastAsia="ru-RU"/>
        </w:rPr>
        <w:t>97</w:t>
      </w:r>
      <w:r w:rsidRPr="00764755">
        <w:rPr>
          <w:rFonts w:ascii="Times New Roman" w:hAnsi="Times New Roman"/>
          <w:sz w:val="24"/>
          <w:szCs w:val="24"/>
          <w:lang w:val="uk-UA" w:eastAsia="ru-RU"/>
        </w:rPr>
        <w:t xml:space="preserve"> запитів.</w:t>
      </w:r>
    </w:p>
    <w:p w:rsidR="00764755" w:rsidRPr="00764755" w:rsidRDefault="00764755" w:rsidP="00764755">
      <w:pPr>
        <w:autoSpaceDN w:val="0"/>
        <w:spacing w:after="0" w:line="240" w:lineRule="auto"/>
        <w:ind w:firstLine="708"/>
        <w:jc w:val="both"/>
        <w:rPr>
          <w:rFonts w:ascii="Times New Roman" w:hAnsi="Times New Roman"/>
          <w:sz w:val="24"/>
          <w:szCs w:val="24"/>
          <w:lang w:val="uk-UA" w:eastAsia="ru-RU"/>
        </w:rPr>
      </w:pPr>
      <w:r w:rsidRPr="00764755">
        <w:rPr>
          <w:rFonts w:ascii="Times New Roman" w:hAnsi="Times New Roman"/>
          <w:sz w:val="24"/>
          <w:szCs w:val="24"/>
          <w:lang w:val="uk-UA" w:eastAsia="ru-RU"/>
        </w:rPr>
        <w:t>Надійшло за</w:t>
      </w:r>
      <w:proofErr w:type="spellStart"/>
      <w:r w:rsidRPr="00764755">
        <w:rPr>
          <w:rFonts w:ascii="Times New Roman" w:hAnsi="Times New Roman"/>
          <w:sz w:val="24"/>
          <w:szCs w:val="24"/>
          <w:lang w:eastAsia="ru-RU"/>
        </w:rPr>
        <w:t>питів</w:t>
      </w:r>
      <w:proofErr w:type="spellEnd"/>
      <w:r w:rsidRPr="00764755">
        <w:rPr>
          <w:rFonts w:ascii="Times New Roman" w:hAnsi="Times New Roman"/>
          <w:sz w:val="24"/>
          <w:szCs w:val="24"/>
          <w:lang w:eastAsia="ru-RU"/>
        </w:rPr>
        <w:t xml:space="preserve"> </w:t>
      </w:r>
      <w:proofErr w:type="spellStart"/>
      <w:r w:rsidRPr="00764755">
        <w:rPr>
          <w:rFonts w:ascii="Times New Roman" w:hAnsi="Times New Roman"/>
          <w:sz w:val="24"/>
          <w:szCs w:val="24"/>
          <w:lang w:eastAsia="ru-RU"/>
        </w:rPr>
        <w:t>від</w:t>
      </w:r>
      <w:proofErr w:type="spellEnd"/>
      <w:r w:rsidRPr="00764755">
        <w:rPr>
          <w:rFonts w:ascii="Times New Roman" w:hAnsi="Times New Roman"/>
          <w:sz w:val="24"/>
          <w:szCs w:val="24"/>
          <w:lang w:eastAsia="ru-RU"/>
        </w:rPr>
        <w:t>:</w:t>
      </w:r>
    </w:p>
    <w:p w:rsidR="00764755" w:rsidRPr="00764755" w:rsidRDefault="00764755" w:rsidP="00764755">
      <w:pPr>
        <w:autoSpaceDN w:val="0"/>
        <w:spacing w:after="0" w:line="240" w:lineRule="auto"/>
        <w:ind w:firstLine="708"/>
        <w:jc w:val="both"/>
        <w:rPr>
          <w:rFonts w:ascii="Times New Roman" w:hAnsi="Times New Roman"/>
          <w:sz w:val="24"/>
          <w:szCs w:val="24"/>
          <w:lang w:val="uk-UA" w:eastAsia="ru-RU"/>
        </w:rPr>
      </w:pPr>
      <w:proofErr w:type="spellStart"/>
      <w:r w:rsidRPr="00764755">
        <w:rPr>
          <w:rFonts w:ascii="Times New Roman" w:hAnsi="Times New Roman"/>
          <w:sz w:val="24"/>
          <w:szCs w:val="24"/>
          <w:lang w:eastAsia="ru-RU"/>
        </w:rPr>
        <w:t>громадян</w:t>
      </w:r>
      <w:proofErr w:type="spellEnd"/>
      <w:r w:rsidRPr="00764755">
        <w:rPr>
          <w:rFonts w:ascii="Times New Roman" w:hAnsi="Times New Roman"/>
          <w:sz w:val="24"/>
          <w:szCs w:val="24"/>
          <w:lang w:eastAsia="ru-RU"/>
        </w:rPr>
        <w:t xml:space="preserve"> </w:t>
      </w:r>
      <w:proofErr w:type="spellStart"/>
      <w:r w:rsidRPr="00764755">
        <w:rPr>
          <w:rFonts w:ascii="Times New Roman" w:hAnsi="Times New Roman"/>
          <w:sz w:val="24"/>
          <w:szCs w:val="24"/>
          <w:lang w:eastAsia="ru-RU"/>
        </w:rPr>
        <w:t>України</w:t>
      </w:r>
      <w:proofErr w:type="spellEnd"/>
      <w:r w:rsidRPr="00764755">
        <w:rPr>
          <w:rFonts w:ascii="Times New Roman" w:hAnsi="Times New Roman"/>
          <w:sz w:val="24"/>
          <w:szCs w:val="24"/>
          <w:lang w:eastAsia="ru-RU"/>
        </w:rPr>
        <w:t xml:space="preserve"> –</w:t>
      </w:r>
      <w:r w:rsidRPr="00764755">
        <w:rPr>
          <w:rFonts w:ascii="Times New Roman" w:hAnsi="Times New Roman"/>
          <w:sz w:val="24"/>
          <w:szCs w:val="24"/>
          <w:lang w:val="uk-UA" w:eastAsia="ru-RU"/>
        </w:rPr>
        <w:t xml:space="preserve"> </w:t>
      </w:r>
      <w:r>
        <w:rPr>
          <w:rFonts w:ascii="Times New Roman" w:hAnsi="Times New Roman"/>
          <w:sz w:val="24"/>
          <w:szCs w:val="24"/>
          <w:lang w:val="uk-UA" w:eastAsia="ru-RU"/>
        </w:rPr>
        <w:t>42</w:t>
      </w:r>
      <w:r w:rsidRPr="00764755">
        <w:rPr>
          <w:rFonts w:ascii="Times New Roman" w:hAnsi="Times New Roman"/>
          <w:sz w:val="24"/>
          <w:szCs w:val="24"/>
          <w:lang w:eastAsia="ru-RU"/>
        </w:rPr>
        <w:t>;</w:t>
      </w:r>
    </w:p>
    <w:p w:rsidR="00764755" w:rsidRPr="00764755" w:rsidRDefault="00764755" w:rsidP="00764755">
      <w:pPr>
        <w:autoSpaceDN w:val="0"/>
        <w:spacing w:after="0" w:line="240" w:lineRule="auto"/>
        <w:ind w:firstLine="708"/>
        <w:jc w:val="both"/>
        <w:rPr>
          <w:rFonts w:ascii="Times New Roman" w:hAnsi="Times New Roman"/>
          <w:sz w:val="24"/>
          <w:szCs w:val="24"/>
          <w:lang w:eastAsia="ru-RU"/>
        </w:rPr>
      </w:pPr>
      <w:proofErr w:type="spellStart"/>
      <w:r w:rsidRPr="00764755">
        <w:rPr>
          <w:rFonts w:ascii="Times New Roman" w:hAnsi="Times New Roman"/>
          <w:sz w:val="24"/>
          <w:szCs w:val="24"/>
          <w:lang w:eastAsia="ru-RU"/>
        </w:rPr>
        <w:t>юридичних</w:t>
      </w:r>
      <w:proofErr w:type="spellEnd"/>
      <w:r w:rsidRPr="00764755">
        <w:rPr>
          <w:rFonts w:ascii="Times New Roman" w:hAnsi="Times New Roman"/>
          <w:sz w:val="24"/>
          <w:szCs w:val="24"/>
          <w:lang w:eastAsia="ru-RU"/>
        </w:rPr>
        <w:t xml:space="preserve"> </w:t>
      </w:r>
      <w:proofErr w:type="spellStart"/>
      <w:r w:rsidRPr="00764755">
        <w:rPr>
          <w:rFonts w:ascii="Times New Roman" w:hAnsi="Times New Roman"/>
          <w:sz w:val="24"/>
          <w:szCs w:val="24"/>
          <w:lang w:eastAsia="ru-RU"/>
        </w:rPr>
        <w:t>осіб</w:t>
      </w:r>
      <w:proofErr w:type="spellEnd"/>
      <w:r w:rsidRPr="00764755">
        <w:rPr>
          <w:rFonts w:ascii="Times New Roman" w:hAnsi="Times New Roman"/>
          <w:sz w:val="24"/>
          <w:szCs w:val="24"/>
          <w:lang w:eastAsia="ru-RU"/>
        </w:rPr>
        <w:t xml:space="preserve">, </w:t>
      </w:r>
      <w:proofErr w:type="spellStart"/>
      <w:proofErr w:type="gramStart"/>
      <w:r w:rsidRPr="00764755">
        <w:rPr>
          <w:rFonts w:ascii="Times New Roman" w:hAnsi="Times New Roman"/>
          <w:sz w:val="24"/>
          <w:szCs w:val="24"/>
          <w:lang w:eastAsia="ru-RU"/>
        </w:rPr>
        <w:t>п</w:t>
      </w:r>
      <w:proofErr w:type="gramEnd"/>
      <w:r w:rsidRPr="00764755">
        <w:rPr>
          <w:rFonts w:ascii="Times New Roman" w:hAnsi="Times New Roman"/>
          <w:sz w:val="24"/>
          <w:szCs w:val="24"/>
          <w:lang w:eastAsia="ru-RU"/>
        </w:rPr>
        <w:t>ідприємств</w:t>
      </w:r>
      <w:proofErr w:type="spellEnd"/>
      <w:r w:rsidRPr="00764755">
        <w:rPr>
          <w:rFonts w:ascii="Times New Roman" w:hAnsi="Times New Roman"/>
          <w:sz w:val="24"/>
          <w:szCs w:val="24"/>
          <w:lang w:eastAsia="ru-RU"/>
        </w:rPr>
        <w:t xml:space="preserve">, </w:t>
      </w:r>
      <w:proofErr w:type="spellStart"/>
      <w:r w:rsidRPr="00764755">
        <w:rPr>
          <w:rFonts w:ascii="Times New Roman" w:hAnsi="Times New Roman"/>
          <w:sz w:val="24"/>
          <w:szCs w:val="24"/>
          <w:lang w:eastAsia="ru-RU"/>
        </w:rPr>
        <w:t>установ</w:t>
      </w:r>
      <w:proofErr w:type="spellEnd"/>
      <w:r w:rsidRPr="00764755">
        <w:rPr>
          <w:rFonts w:ascii="Times New Roman" w:hAnsi="Times New Roman"/>
          <w:sz w:val="24"/>
          <w:szCs w:val="24"/>
          <w:lang w:eastAsia="ru-RU"/>
        </w:rPr>
        <w:t xml:space="preserve"> та </w:t>
      </w:r>
      <w:proofErr w:type="spellStart"/>
      <w:r w:rsidRPr="00764755">
        <w:rPr>
          <w:rFonts w:ascii="Times New Roman" w:hAnsi="Times New Roman"/>
          <w:sz w:val="24"/>
          <w:szCs w:val="24"/>
          <w:lang w:eastAsia="ru-RU"/>
        </w:rPr>
        <w:t>організацій</w:t>
      </w:r>
      <w:proofErr w:type="spellEnd"/>
      <w:r w:rsidRPr="00764755">
        <w:rPr>
          <w:rFonts w:ascii="Times New Roman" w:hAnsi="Times New Roman"/>
          <w:sz w:val="24"/>
          <w:szCs w:val="24"/>
          <w:lang w:eastAsia="ru-RU"/>
        </w:rPr>
        <w:t xml:space="preserve"> </w:t>
      </w:r>
      <w:proofErr w:type="spellStart"/>
      <w:r w:rsidRPr="00764755">
        <w:rPr>
          <w:rFonts w:ascii="Times New Roman" w:hAnsi="Times New Roman"/>
          <w:sz w:val="24"/>
          <w:szCs w:val="24"/>
          <w:lang w:eastAsia="ru-RU"/>
        </w:rPr>
        <w:t>міста</w:t>
      </w:r>
      <w:proofErr w:type="spellEnd"/>
      <w:r w:rsidRPr="00764755">
        <w:rPr>
          <w:rFonts w:ascii="Times New Roman" w:hAnsi="Times New Roman"/>
          <w:sz w:val="24"/>
          <w:szCs w:val="24"/>
          <w:lang w:eastAsia="ru-RU"/>
        </w:rPr>
        <w:t xml:space="preserve"> – 4.</w:t>
      </w:r>
    </w:p>
    <w:p w:rsidR="00764755" w:rsidRDefault="00764755" w:rsidP="00764755">
      <w:pPr>
        <w:autoSpaceDN w:val="0"/>
        <w:spacing w:after="0" w:line="240" w:lineRule="auto"/>
        <w:ind w:firstLine="708"/>
        <w:jc w:val="both"/>
        <w:rPr>
          <w:rFonts w:ascii="Times New Roman" w:hAnsi="Times New Roman"/>
          <w:sz w:val="24"/>
          <w:szCs w:val="24"/>
          <w:lang w:val="uk-UA" w:eastAsia="ru-RU"/>
        </w:rPr>
      </w:pPr>
      <w:r w:rsidRPr="00764755">
        <w:rPr>
          <w:rFonts w:ascii="Times New Roman" w:hAnsi="Times New Roman"/>
          <w:sz w:val="24"/>
          <w:szCs w:val="24"/>
          <w:lang w:val="uk-UA" w:eastAsia="ru-RU"/>
        </w:rPr>
        <w:t>Виконавцями запитів є:</w:t>
      </w:r>
    </w:p>
    <w:p w:rsidR="00FD2CEB" w:rsidRDefault="00FD2CEB" w:rsidP="00FD2CEB">
      <w:pPr>
        <w:autoSpaceDN w:val="0"/>
        <w:spacing w:after="0" w:line="240" w:lineRule="auto"/>
        <w:ind w:firstLine="708"/>
        <w:jc w:val="both"/>
        <w:rPr>
          <w:rFonts w:ascii="Times New Roman" w:hAnsi="Times New Roman"/>
          <w:sz w:val="24"/>
          <w:szCs w:val="24"/>
          <w:lang w:val="uk-UA" w:eastAsia="ru-RU"/>
        </w:rPr>
      </w:pPr>
      <w:r w:rsidRPr="00764755">
        <w:rPr>
          <w:rFonts w:ascii="Times New Roman" w:hAnsi="Times New Roman"/>
          <w:sz w:val="24"/>
          <w:szCs w:val="24"/>
          <w:lang w:val="uk-UA" w:eastAsia="ru-RU"/>
        </w:rPr>
        <w:t>відділ організаційно кадрової роботи – 1</w:t>
      </w:r>
      <w:r>
        <w:rPr>
          <w:rFonts w:ascii="Times New Roman" w:hAnsi="Times New Roman"/>
          <w:sz w:val="24"/>
          <w:szCs w:val="24"/>
          <w:lang w:val="uk-UA" w:eastAsia="ru-RU"/>
        </w:rPr>
        <w:t>2</w:t>
      </w:r>
      <w:r w:rsidRPr="00764755">
        <w:rPr>
          <w:rFonts w:ascii="Times New Roman" w:hAnsi="Times New Roman"/>
          <w:sz w:val="24"/>
          <w:szCs w:val="24"/>
          <w:lang w:val="uk-UA" w:eastAsia="ru-RU"/>
        </w:rPr>
        <w:t>;</w:t>
      </w:r>
    </w:p>
    <w:p w:rsidR="00FD2CEB" w:rsidRPr="00764755" w:rsidRDefault="00FD2CEB" w:rsidP="00FD2CEB">
      <w:pPr>
        <w:autoSpaceDN w:val="0"/>
        <w:spacing w:after="0" w:line="240" w:lineRule="auto"/>
        <w:ind w:firstLine="708"/>
        <w:jc w:val="both"/>
        <w:rPr>
          <w:rFonts w:ascii="Times New Roman" w:hAnsi="Times New Roman"/>
          <w:sz w:val="24"/>
          <w:szCs w:val="24"/>
          <w:lang w:val="uk-UA" w:eastAsia="ru-RU"/>
        </w:rPr>
      </w:pPr>
      <w:proofErr w:type="spellStart"/>
      <w:r w:rsidRPr="00764755">
        <w:rPr>
          <w:rFonts w:ascii="Times New Roman" w:hAnsi="Times New Roman"/>
          <w:sz w:val="24"/>
          <w:szCs w:val="24"/>
          <w:lang w:eastAsia="ru-RU"/>
        </w:rPr>
        <w:t>юридичний</w:t>
      </w:r>
      <w:proofErr w:type="spellEnd"/>
      <w:r w:rsidRPr="00764755">
        <w:rPr>
          <w:rFonts w:ascii="Times New Roman" w:hAnsi="Times New Roman"/>
          <w:sz w:val="24"/>
          <w:szCs w:val="24"/>
          <w:lang w:eastAsia="ru-RU"/>
        </w:rPr>
        <w:t xml:space="preserve"> </w:t>
      </w:r>
      <w:proofErr w:type="spellStart"/>
      <w:r w:rsidRPr="00764755">
        <w:rPr>
          <w:rFonts w:ascii="Times New Roman" w:hAnsi="Times New Roman"/>
          <w:sz w:val="24"/>
          <w:szCs w:val="24"/>
          <w:lang w:eastAsia="ru-RU"/>
        </w:rPr>
        <w:t>відділ</w:t>
      </w:r>
      <w:proofErr w:type="spellEnd"/>
      <w:r w:rsidRPr="00764755">
        <w:rPr>
          <w:rFonts w:ascii="Times New Roman" w:hAnsi="Times New Roman"/>
          <w:sz w:val="24"/>
          <w:szCs w:val="24"/>
          <w:lang w:val="uk-UA" w:eastAsia="ru-RU"/>
        </w:rPr>
        <w:t xml:space="preserve"> – </w:t>
      </w:r>
      <w:r>
        <w:rPr>
          <w:rFonts w:ascii="Times New Roman" w:hAnsi="Times New Roman"/>
          <w:sz w:val="24"/>
          <w:szCs w:val="24"/>
          <w:lang w:val="uk-UA" w:eastAsia="ru-RU"/>
        </w:rPr>
        <w:t>8</w:t>
      </w:r>
      <w:r w:rsidRPr="00764755">
        <w:rPr>
          <w:rFonts w:ascii="Times New Roman" w:hAnsi="Times New Roman"/>
          <w:sz w:val="24"/>
          <w:szCs w:val="24"/>
          <w:lang w:val="uk-UA" w:eastAsia="ru-RU"/>
        </w:rPr>
        <w:t>;</w:t>
      </w:r>
    </w:p>
    <w:p w:rsidR="00FD2CEB" w:rsidRDefault="00764755" w:rsidP="00764755">
      <w:pPr>
        <w:autoSpaceDN w:val="0"/>
        <w:spacing w:after="0" w:line="240" w:lineRule="auto"/>
        <w:ind w:firstLine="708"/>
        <w:jc w:val="both"/>
        <w:rPr>
          <w:rFonts w:ascii="Times New Roman" w:hAnsi="Times New Roman"/>
          <w:sz w:val="24"/>
          <w:szCs w:val="24"/>
          <w:lang w:val="uk-UA" w:eastAsia="ru-RU"/>
        </w:rPr>
      </w:pPr>
      <w:r w:rsidRPr="00764755">
        <w:rPr>
          <w:rFonts w:ascii="Times New Roman" w:hAnsi="Times New Roman"/>
          <w:sz w:val="24"/>
          <w:szCs w:val="24"/>
          <w:lang w:val="uk-UA" w:eastAsia="ru-RU"/>
        </w:rPr>
        <w:t xml:space="preserve">УМА та ЖКГ – </w:t>
      </w:r>
      <w:r w:rsidR="00FD2CEB">
        <w:rPr>
          <w:rFonts w:ascii="Times New Roman" w:hAnsi="Times New Roman"/>
          <w:sz w:val="24"/>
          <w:szCs w:val="24"/>
          <w:lang w:val="uk-UA" w:eastAsia="ru-RU"/>
        </w:rPr>
        <w:t>7</w:t>
      </w:r>
      <w:r w:rsidRPr="00764755">
        <w:rPr>
          <w:rFonts w:ascii="Times New Roman" w:hAnsi="Times New Roman"/>
          <w:sz w:val="24"/>
          <w:szCs w:val="24"/>
          <w:lang w:val="uk-UA" w:eastAsia="ru-RU"/>
        </w:rPr>
        <w:t>;</w:t>
      </w:r>
    </w:p>
    <w:p w:rsidR="00FD2CEB" w:rsidRPr="00764755" w:rsidRDefault="00FD2CEB" w:rsidP="00FD2CEB">
      <w:pPr>
        <w:autoSpaceDN w:val="0"/>
        <w:spacing w:after="0" w:line="240" w:lineRule="auto"/>
        <w:ind w:firstLine="708"/>
        <w:jc w:val="both"/>
        <w:rPr>
          <w:rFonts w:ascii="Times New Roman" w:hAnsi="Times New Roman"/>
          <w:sz w:val="24"/>
          <w:szCs w:val="24"/>
          <w:lang w:val="uk-UA" w:eastAsia="ru-RU"/>
        </w:rPr>
      </w:pPr>
      <w:r w:rsidRPr="00764755">
        <w:rPr>
          <w:rFonts w:ascii="Times New Roman" w:hAnsi="Times New Roman"/>
          <w:sz w:val="24"/>
          <w:szCs w:val="24"/>
          <w:lang w:val="uk-UA" w:eastAsia="ru-RU"/>
        </w:rPr>
        <w:t>відділ земельних питань – 4;</w:t>
      </w:r>
    </w:p>
    <w:p w:rsidR="00764755" w:rsidRDefault="00764755" w:rsidP="00764755">
      <w:pPr>
        <w:autoSpaceDN w:val="0"/>
        <w:spacing w:after="0" w:line="240" w:lineRule="auto"/>
        <w:ind w:firstLine="708"/>
        <w:jc w:val="both"/>
        <w:rPr>
          <w:rFonts w:ascii="Times New Roman" w:hAnsi="Times New Roman"/>
          <w:sz w:val="24"/>
          <w:szCs w:val="24"/>
          <w:lang w:val="uk-UA" w:eastAsia="ru-RU"/>
        </w:rPr>
      </w:pPr>
      <w:r w:rsidRPr="00764755">
        <w:rPr>
          <w:rFonts w:ascii="Times New Roman" w:hAnsi="Times New Roman"/>
          <w:sz w:val="24"/>
          <w:szCs w:val="24"/>
          <w:lang w:val="uk-UA" w:eastAsia="ru-RU"/>
        </w:rPr>
        <w:t xml:space="preserve">відділ освіти – </w:t>
      </w:r>
      <w:r w:rsidR="00FD2CEB">
        <w:rPr>
          <w:rFonts w:ascii="Times New Roman" w:hAnsi="Times New Roman"/>
          <w:sz w:val="24"/>
          <w:szCs w:val="24"/>
          <w:lang w:val="uk-UA" w:eastAsia="ru-RU"/>
        </w:rPr>
        <w:t>3</w:t>
      </w:r>
      <w:r w:rsidRPr="00764755">
        <w:rPr>
          <w:rFonts w:ascii="Times New Roman" w:hAnsi="Times New Roman"/>
          <w:sz w:val="24"/>
          <w:szCs w:val="24"/>
          <w:lang w:val="uk-UA" w:eastAsia="ru-RU"/>
        </w:rPr>
        <w:t>;</w:t>
      </w:r>
    </w:p>
    <w:p w:rsidR="00FD2CEB" w:rsidRPr="00764755" w:rsidRDefault="00FD2CEB" w:rsidP="00FD2CEB">
      <w:pPr>
        <w:autoSpaceDN w:val="0"/>
        <w:spacing w:after="0" w:line="240" w:lineRule="auto"/>
        <w:ind w:firstLine="708"/>
        <w:jc w:val="both"/>
        <w:rPr>
          <w:rFonts w:ascii="Times New Roman" w:hAnsi="Times New Roman"/>
          <w:sz w:val="24"/>
          <w:szCs w:val="24"/>
          <w:lang w:val="uk-UA" w:eastAsia="ru-RU"/>
        </w:rPr>
      </w:pPr>
      <w:r w:rsidRPr="00764755">
        <w:rPr>
          <w:rFonts w:ascii="Times New Roman" w:hAnsi="Times New Roman"/>
          <w:sz w:val="24"/>
          <w:szCs w:val="24"/>
          <w:lang w:val="uk-UA" w:eastAsia="ru-RU"/>
        </w:rPr>
        <w:t xml:space="preserve">відділ загальний, контролю та роботи із зверненнями громадян – </w:t>
      </w:r>
      <w:r>
        <w:rPr>
          <w:rFonts w:ascii="Times New Roman" w:hAnsi="Times New Roman"/>
          <w:sz w:val="24"/>
          <w:szCs w:val="24"/>
          <w:lang w:val="uk-UA" w:eastAsia="ru-RU"/>
        </w:rPr>
        <w:t>3</w:t>
      </w:r>
      <w:r w:rsidRPr="00764755">
        <w:rPr>
          <w:rFonts w:ascii="Times New Roman" w:hAnsi="Times New Roman"/>
          <w:sz w:val="24"/>
          <w:szCs w:val="24"/>
          <w:lang w:val="uk-UA" w:eastAsia="ru-RU"/>
        </w:rPr>
        <w:t>;</w:t>
      </w:r>
    </w:p>
    <w:p w:rsidR="00764755" w:rsidRDefault="00764755" w:rsidP="00764755">
      <w:pPr>
        <w:autoSpaceDN w:val="0"/>
        <w:spacing w:after="0" w:line="240" w:lineRule="auto"/>
        <w:ind w:firstLine="708"/>
        <w:jc w:val="both"/>
        <w:rPr>
          <w:rFonts w:ascii="Times New Roman" w:hAnsi="Times New Roman"/>
          <w:sz w:val="24"/>
          <w:szCs w:val="24"/>
          <w:lang w:val="uk-UA" w:eastAsia="ru-RU"/>
        </w:rPr>
      </w:pPr>
      <w:proofErr w:type="spellStart"/>
      <w:r w:rsidRPr="00764755">
        <w:rPr>
          <w:rFonts w:ascii="Times New Roman" w:hAnsi="Times New Roman"/>
          <w:sz w:val="24"/>
          <w:szCs w:val="24"/>
          <w:lang w:eastAsia="ru-RU"/>
        </w:rPr>
        <w:t>відділ</w:t>
      </w:r>
      <w:proofErr w:type="spellEnd"/>
      <w:r w:rsidRPr="00764755">
        <w:rPr>
          <w:rFonts w:ascii="Times New Roman" w:hAnsi="Times New Roman"/>
          <w:sz w:val="24"/>
          <w:szCs w:val="24"/>
          <w:lang w:eastAsia="ru-RU"/>
        </w:rPr>
        <w:t xml:space="preserve"> </w:t>
      </w:r>
      <w:proofErr w:type="spellStart"/>
      <w:r w:rsidRPr="00764755">
        <w:rPr>
          <w:rFonts w:ascii="Times New Roman" w:hAnsi="Times New Roman"/>
          <w:sz w:val="24"/>
          <w:szCs w:val="24"/>
          <w:lang w:eastAsia="ru-RU"/>
        </w:rPr>
        <w:t>фінансово-господарського</w:t>
      </w:r>
      <w:proofErr w:type="spellEnd"/>
      <w:r w:rsidRPr="00764755">
        <w:rPr>
          <w:rFonts w:ascii="Times New Roman" w:hAnsi="Times New Roman"/>
          <w:sz w:val="24"/>
          <w:szCs w:val="24"/>
          <w:lang w:eastAsia="ru-RU"/>
        </w:rPr>
        <w:t xml:space="preserve"> </w:t>
      </w:r>
      <w:proofErr w:type="spellStart"/>
      <w:r w:rsidRPr="00764755">
        <w:rPr>
          <w:rFonts w:ascii="Times New Roman" w:hAnsi="Times New Roman"/>
          <w:sz w:val="24"/>
          <w:szCs w:val="24"/>
          <w:lang w:eastAsia="ru-RU"/>
        </w:rPr>
        <w:t>забезпечення</w:t>
      </w:r>
      <w:proofErr w:type="spellEnd"/>
      <w:r w:rsidRPr="00764755">
        <w:rPr>
          <w:rFonts w:ascii="Times New Roman" w:hAnsi="Times New Roman"/>
          <w:sz w:val="24"/>
          <w:szCs w:val="24"/>
          <w:lang w:val="uk-UA" w:eastAsia="ru-RU"/>
        </w:rPr>
        <w:t xml:space="preserve"> – </w:t>
      </w:r>
      <w:r w:rsidR="00FD2CEB">
        <w:rPr>
          <w:rFonts w:ascii="Times New Roman" w:hAnsi="Times New Roman"/>
          <w:sz w:val="24"/>
          <w:szCs w:val="24"/>
          <w:lang w:val="uk-UA" w:eastAsia="ru-RU"/>
        </w:rPr>
        <w:t>2</w:t>
      </w:r>
      <w:r w:rsidRPr="00764755">
        <w:rPr>
          <w:rFonts w:ascii="Times New Roman" w:hAnsi="Times New Roman"/>
          <w:sz w:val="24"/>
          <w:szCs w:val="24"/>
          <w:lang w:val="uk-UA" w:eastAsia="ru-RU"/>
        </w:rPr>
        <w:t>;</w:t>
      </w:r>
    </w:p>
    <w:p w:rsidR="00FD2CEB" w:rsidRPr="00764755" w:rsidRDefault="00FD2CEB" w:rsidP="00FD2CEB">
      <w:pPr>
        <w:autoSpaceDN w:val="0"/>
        <w:spacing w:after="0" w:line="240" w:lineRule="auto"/>
        <w:ind w:firstLine="708"/>
        <w:jc w:val="both"/>
        <w:rPr>
          <w:rFonts w:ascii="Times New Roman" w:hAnsi="Times New Roman"/>
          <w:sz w:val="24"/>
          <w:szCs w:val="24"/>
          <w:lang w:val="uk-UA" w:eastAsia="ru-RU"/>
        </w:rPr>
      </w:pPr>
      <w:r w:rsidRPr="00764755">
        <w:rPr>
          <w:rFonts w:ascii="Times New Roman" w:hAnsi="Times New Roman"/>
          <w:sz w:val="24"/>
          <w:szCs w:val="24"/>
          <w:lang w:val="uk-UA" w:eastAsia="ru-RU"/>
        </w:rPr>
        <w:t xml:space="preserve">управління соціального захисту населення – </w:t>
      </w:r>
      <w:r>
        <w:rPr>
          <w:rFonts w:ascii="Times New Roman" w:hAnsi="Times New Roman"/>
          <w:sz w:val="24"/>
          <w:szCs w:val="24"/>
          <w:lang w:val="uk-UA" w:eastAsia="ru-RU"/>
        </w:rPr>
        <w:t>2</w:t>
      </w:r>
      <w:r w:rsidRPr="00764755">
        <w:rPr>
          <w:rFonts w:ascii="Times New Roman" w:hAnsi="Times New Roman"/>
          <w:sz w:val="24"/>
          <w:szCs w:val="24"/>
          <w:lang w:val="uk-UA" w:eastAsia="ru-RU"/>
        </w:rPr>
        <w:t>;</w:t>
      </w:r>
    </w:p>
    <w:p w:rsidR="00FD2CEB" w:rsidRDefault="00FD2CEB" w:rsidP="00FD2CEB">
      <w:pPr>
        <w:autoSpaceDN w:val="0"/>
        <w:spacing w:after="0" w:line="240" w:lineRule="auto"/>
        <w:ind w:firstLine="708"/>
        <w:jc w:val="both"/>
        <w:rPr>
          <w:rFonts w:ascii="Times New Roman" w:hAnsi="Times New Roman"/>
          <w:sz w:val="24"/>
          <w:szCs w:val="24"/>
          <w:lang w:val="uk-UA" w:eastAsia="ru-RU"/>
        </w:rPr>
      </w:pPr>
      <w:proofErr w:type="spellStart"/>
      <w:r w:rsidRPr="00764755">
        <w:rPr>
          <w:rFonts w:ascii="Times New Roman" w:hAnsi="Times New Roman"/>
          <w:sz w:val="24"/>
          <w:szCs w:val="24"/>
          <w:lang w:eastAsia="ru-RU"/>
        </w:rPr>
        <w:t>відділ</w:t>
      </w:r>
      <w:proofErr w:type="spellEnd"/>
      <w:r w:rsidRPr="00764755">
        <w:rPr>
          <w:rFonts w:ascii="Times New Roman" w:hAnsi="Times New Roman"/>
          <w:sz w:val="24"/>
          <w:szCs w:val="24"/>
          <w:lang w:eastAsia="ru-RU"/>
        </w:rPr>
        <w:t xml:space="preserve"> </w:t>
      </w:r>
      <w:proofErr w:type="spellStart"/>
      <w:r w:rsidRPr="00764755">
        <w:rPr>
          <w:rFonts w:ascii="Times New Roman" w:hAnsi="Times New Roman"/>
          <w:sz w:val="24"/>
          <w:szCs w:val="24"/>
          <w:lang w:eastAsia="ru-RU"/>
        </w:rPr>
        <w:t>економічного</w:t>
      </w:r>
      <w:proofErr w:type="spellEnd"/>
      <w:r w:rsidRPr="00764755">
        <w:rPr>
          <w:rFonts w:ascii="Times New Roman" w:hAnsi="Times New Roman"/>
          <w:sz w:val="24"/>
          <w:szCs w:val="24"/>
          <w:lang w:eastAsia="ru-RU"/>
        </w:rPr>
        <w:t xml:space="preserve"> </w:t>
      </w:r>
      <w:proofErr w:type="spellStart"/>
      <w:r w:rsidRPr="00764755">
        <w:rPr>
          <w:rFonts w:ascii="Times New Roman" w:hAnsi="Times New Roman"/>
          <w:sz w:val="24"/>
          <w:szCs w:val="24"/>
          <w:lang w:eastAsia="ru-RU"/>
        </w:rPr>
        <w:t>розвитку</w:t>
      </w:r>
      <w:proofErr w:type="spellEnd"/>
      <w:r w:rsidRPr="00764755">
        <w:rPr>
          <w:rFonts w:ascii="Times New Roman" w:hAnsi="Times New Roman"/>
          <w:sz w:val="24"/>
          <w:szCs w:val="24"/>
          <w:lang w:eastAsia="ru-RU"/>
        </w:rPr>
        <w:t xml:space="preserve">, </w:t>
      </w:r>
      <w:proofErr w:type="spellStart"/>
      <w:r w:rsidRPr="00764755">
        <w:rPr>
          <w:rFonts w:ascii="Times New Roman" w:hAnsi="Times New Roman"/>
          <w:sz w:val="24"/>
          <w:szCs w:val="24"/>
          <w:lang w:eastAsia="ru-RU"/>
        </w:rPr>
        <w:t>промисловості</w:t>
      </w:r>
      <w:proofErr w:type="spellEnd"/>
      <w:r w:rsidRPr="00764755">
        <w:rPr>
          <w:rFonts w:ascii="Times New Roman" w:hAnsi="Times New Roman"/>
          <w:sz w:val="24"/>
          <w:szCs w:val="24"/>
          <w:lang w:eastAsia="ru-RU"/>
        </w:rPr>
        <w:t xml:space="preserve">, </w:t>
      </w:r>
      <w:proofErr w:type="spellStart"/>
      <w:r w:rsidRPr="00764755">
        <w:rPr>
          <w:rFonts w:ascii="Times New Roman" w:hAnsi="Times New Roman"/>
          <w:sz w:val="24"/>
          <w:szCs w:val="24"/>
          <w:lang w:eastAsia="ru-RU"/>
        </w:rPr>
        <w:t>інфраструктури</w:t>
      </w:r>
      <w:proofErr w:type="spellEnd"/>
      <w:r w:rsidRPr="00764755">
        <w:rPr>
          <w:rFonts w:ascii="Times New Roman" w:hAnsi="Times New Roman"/>
          <w:sz w:val="24"/>
          <w:szCs w:val="24"/>
          <w:lang w:eastAsia="ru-RU"/>
        </w:rPr>
        <w:t xml:space="preserve"> та </w:t>
      </w:r>
      <w:proofErr w:type="spellStart"/>
      <w:r w:rsidRPr="00764755">
        <w:rPr>
          <w:rFonts w:ascii="Times New Roman" w:hAnsi="Times New Roman"/>
          <w:sz w:val="24"/>
          <w:szCs w:val="24"/>
          <w:lang w:eastAsia="ru-RU"/>
        </w:rPr>
        <w:t>торгі</w:t>
      </w:r>
      <w:proofErr w:type="gramStart"/>
      <w:r w:rsidRPr="00764755">
        <w:rPr>
          <w:rFonts w:ascii="Times New Roman" w:hAnsi="Times New Roman"/>
          <w:sz w:val="24"/>
          <w:szCs w:val="24"/>
          <w:lang w:eastAsia="ru-RU"/>
        </w:rPr>
        <w:t>вл</w:t>
      </w:r>
      <w:proofErr w:type="gramEnd"/>
      <w:r w:rsidRPr="00764755">
        <w:rPr>
          <w:rFonts w:ascii="Times New Roman" w:hAnsi="Times New Roman"/>
          <w:sz w:val="24"/>
          <w:szCs w:val="24"/>
          <w:lang w:eastAsia="ru-RU"/>
        </w:rPr>
        <w:t>і</w:t>
      </w:r>
      <w:proofErr w:type="spellEnd"/>
      <w:r w:rsidRPr="00764755">
        <w:rPr>
          <w:rFonts w:ascii="Times New Roman" w:hAnsi="Times New Roman"/>
          <w:sz w:val="24"/>
          <w:szCs w:val="24"/>
          <w:lang w:eastAsia="ru-RU"/>
        </w:rPr>
        <w:t xml:space="preserve"> – </w:t>
      </w:r>
      <w:r>
        <w:rPr>
          <w:rFonts w:ascii="Times New Roman" w:hAnsi="Times New Roman"/>
          <w:sz w:val="24"/>
          <w:szCs w:val="24"/>
          <w:lang w:val="uk-UA" w:eastAsia="ru-RU"/>
        </w:rPr>
        <w:t>2</w:t>
      </w:r>
      <w:r w:rsidRPr="00764755">
        <w:rPr>
          <w:rFonts w:ascii="Times New Roman" w:hAnsi="Times New Roman"/>
          <w:sz w:val="24"/>
          <w:szCs w:val="24"/>
          <w:lang w:eastAsia="ru-RU"/>
        </w:rPr>
        <w:t>;</w:t>
      </w:r>
    </w:p>
    <w:p w:rsidR="00764755" w:rsidRPr="00764755" w:rsidRDefault="00764755" w:rsidP="00764755">
      <w:pPr>
        <w:autoSpaceDN w:val="0"/>
        <w:spacing w:after="0" w:line="240" w:lineRule="auto"/>
        <w:ind w:firstLine="708"/>
        <w:jc w:val="both"/>
        <w:rPr>
          <w:rFonts w:ascii="Times New Roman" w:hAnsi="Times New Roman"/>
          <w:sz w:val="24"/>
          <w:szCs w:val="24"/>
          <w:lang w:val="uk-UA" w:eastAsia="ru-RU"/>
        </w:rPr>
      </w:pPr>
      <w:proofErr w:type="spellStart"/>
      <w:r w:rsidRPr="00764755">
        <w:rPr>
          <w:rFonts w:ascii="Times New Roman" w:hAnsi="Times New Roman"/>
          <w:sz w:val="24"/>
          <w:szCs w:val="24"/>
          <w:lang w:eastAsia="ru-RU"/>
        </w:rPr>
        <w:t>відділ</w:t>
      </w:r>
      <w:proofErr w:type="spellEnd"/>
      <w:r w:rsidRPr="00764755">
        <w:rPr>
          <w:rFonts w:ascii="Times New Roman" w:hAnsi="Times New Roman"/>
          <w:sz w:val="24"/>
          <w:szCs w:val="24"/>
          <w:lang w:eastAsia="ru-RU"/>
        </w:rPr>
        <w:t xml:space="preserve"> </w:t>
      </w:r>
      <w:proofErr w:type="spellStart"/>
      <w:r w:rsidRPr="00764755">
        <w:rPr>
          <w:rFonts w:ascii="Times New Roman" w:hAnsi="Times New Roman"/>
          <w:sz w:val="24"/>
          <w:szCs w:val="24"/>
          <w:lang w:eastAsia="ru-RU"/>
        </w:rPr>
        <w:t>молоді</w:t>
      </w:r>
      <w:proofErr w:type="spellEnd"/>
      <w:r w:rsidRPr="00764755">
        <w:rPr>
          <w:rFonts w:ascii="Times New Roman" w:hAnsi="Times New Roman"/>
          <w:sz w:val="24"/>
          <w:szCs w:val="24"/>
          <w:lang w:eastAsia="ru-RU"/>
        </w:rPr>
        <w:t xml:space="preserve">, спорту та </w:t>
      </w:r>
      <w:proofErr w:type="spellStart"/>
      <w:r w:rsidRPr="00764755">
        <w:rPr>
          <w:rFonts w:ascii="Times New Roman" w:hAnsi="Times New Roman"/>
          <w:sz w:val="24"/>
          <w:szCs w:val="24"/>
          <w:lang w:eastAsia="ru-RU"/>
        </w:rPr>
        <w:t>охорони</w:t>
      </w:r>
      <w:proofErr w:type="spellEnd"/>
      <w:r w:rsidRPr="00764755">
        <w:rPr>
          <w:rFonts w:ascii="Times New Roman" w:hAnsi="Times New Roman"/>
          <w:sz w:val="24"/>
          <w:szCs w:val="24"/>
          <w:lang w:eastAsia="ru-RU"/>
        </w:rPr>
        <w:t xml:space="preserve"> </w:t>
      </w:r>
      <w:proofErr w:type="spellStart"/>
      <w:r w:rsidRPr="00764755">
        <w:rPr>
          <w:rFonts w:ascii="Times New Roman" w:hAnsi="Times New Roman"/>
          <w:sz w:val="24"/>
          <w:szCs w:val="24"/>
          <w:lang w:eastAsia="ru-RU"/>
        </w:rPr>
        <w:t>здоров’я</w:t>
      </w:r>
      <w:proofErr w:type="spellEnd"/>
      <w:r w:rsidRPr="00764755">
        <w:rPr>
          <w:rFonts w:ascii="Times New Roman" w:hAnsi="Times New Roman"/>
          <w:sz w:val="24"/>
          <w:szCs w:val="24"/>
          <w:lang w:val="uk-UA" w:eastAsia="ru-RU"/>
        </w:rPr>
        <w:t xml:space="preserve"> – </w:t>
      </w:r>
      <w:r w:rsidR="00FD2CEB">
        <w:rPr>
          <w:rFonts w:ascii="Times New Roman" w:hAnsi="Times New Roman"/>
          <w:sz w:val="24"/>
          <w:szCs w:val="24"/>
          <w:lang w:val="uk-UA" w:eastAsia="ru-RU"/>
        </w:rPr>
        <w:t>1</w:t>
      </w:r>
      <w:r w:rsidRPr="00764755">
        <w:rPr>
          <w:rFonts w:ascii="Times New Roman" w:hAnsi="Times New Roman"/>
          <w:sz w:val="24"/>
          <w:szCs w:val="24"/>
          <w:lang w:val="uk-UA" w:eastAsia="ru-RU"/>
        </w:rPr>
        <w:t>;</w:t>
      </w:r>
    </w:p>
    <w:p w:rsidR="00FD2CEB" w:rsidRDefault="00FD2CEB" w:rsidP="00764755">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відділ охорони здоров’я – 1;</w:t>
      </w:r>
    </w:p>
    <w:p w:rsidR="00FD2CEB" w:rsidRPr="00764755" w:rsidRDefault="00FD2CEB" w:rsidP="00764755">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відділ культури – 1.</w:t>
      </w:r>
    </w:p>
    <w:p w:rsidR="00764755" w:rsidRPr="00764755" w:rsidRDefault="00764755" w:rsidP="00764755">
      <w:pPr>
        <w:autoSpaceDN w:val="0"/>
        <w:spacing w:after="0" w:line="240" w:lineRule="auto"/>
        <w:ind w:firstLine="708"/>
        <w:jc w:val="both"/>
        <w:rPr>
          <w:rFonts w:ascii="Times New Roman" w:hAnsi="Times New Roman"/>
          <w:sz w:val="24"/>
          <w:szCs w:val="24"/>
          <w:lang w:val="uk-UA" w:eastAsia="ru-RU"/>
        </w:rPr>
      </w:pPr>
      <w:r w:rsidRPr="00764755">
        <w:rPr>
          <w:rFonts w:ascii="Times New Roman" w:hAnsi="Times New Roman"/>
          <w:sz w:val="24"/>
          <w:szCs w:val="24"/>
          <w:lang w:val="uk-UA" w:eastAsia="ru-RU"/>
        </w:rPr>
        <w:t>Запити, подані в порядку Закону України «Про доступ до публічної інформації» як поштою, так і електронним зв’язком, розглянуті у відповідний строк.</w:t>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З метою забезпечення інформованості громадськості про стан роботи зі зверненнями громадян на офіційному веб-сайті Знам’янської міської ради у розділі «Звернення громадян» щокварталу оприлюднюються узагальнені відомості про організацію роботи із зверненнями громадян.</w:t>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Всі звернення, що надходять до міськвиконкому, міський голова розглядає особисто, дає відповідні доручення виконавцям. Від виконавців міський голова вимагає позитивного вирішення питань, що належать до їх компетенції. Заявники обов`язково повідомляються про результати розгляду їх звернень у терміни, визначені законодавством України.</w:t>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Особлива увага приділяється вирішенню питань, які порушують ветерани війни і праці, інваліди, учасники АТО, пенсіонери, особи, які постраждали внаслідок аварії на ЧАЕС, багатодітні сім`ї, діти-інваліди, одинокі матері та особи, які потребують соціального захисту та підтримки.</w:t>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Відмов працівниками виконавчого комітету у задоволенні права на звернення громадян не зафіксовано. Порушення Закону України «Про звернення громадян» при розгляді звернень громадян відсутні.</w:t>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lastRenderedPageBreak/>
        <w:t>Виконавчим комітетом Знам’янської міської ради вживаються всі можливі заходи щодо забезпечення реалізації конституційних прав громадянина на звернення, неухильного виконання норм Закону України «Про звернення громадян», упорядкування роботи із зверненнями громадян.</w:t>
      </w:r>
    </w:p>
    <w:p w:rsidR="0010049D" w:rsidRDefault="0010049D" w:rsidP="0010049D">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Питання організації роботи зі зверненнями громадян перебуває на постійному контролі керівництва виконавчого комітету Знам’янської міської ради.</w:t>
      </w:r>
    </w:p>
    <w:p w:rsidR="00C45FB4" w:rsidRDefault="00C45FB4">
      <w:pPr>
        <w:rPr>
          <w:lang w:val="uk-UA"/>
        </w:rPr>
      </w:pPr>
    </w:p>
    <w:p w:rsidR="00FD2CEB" w:rsidRDefault="00FD2CEB">
      <w:pPr>
        <w:rPr>
          <w:lang w:val="uk-UA"/>
        </w:rPr>
      </w:pPr>
    </w:p>
    <w:p w:rsidR="00FD2CEB" w:rsidRPr="00FD2CEB" w:rsidRDefault="00FD2CEB" w:rsidP="00FD2CEB">
      <w:pPr>
        <w:autoSpaceDN w:val="0"/>
        <w:spacing w:after="0" w:line="240" w:lineRule="auto"/>
        <w:jc w:val="both"/>
        <w:rPr>
          <w:rFonts w:ascii="Times New Roman" w:hAnsi="Times New Roman"/>
          <w:b/>
          <w:sz w:val="24"/>
          <w:szCs w:val="24"/>
          <w:lang w:val="uk-UA" w:eastAsia="ru-RU"/>
        </w:rPr>
      </w:pPr>
      <w:r w:rsidRPr="00FD2CEB">
        <w:rPr>
          <w:rFonts w:ascii="Times New Roman" w:hAnsi="Times New Roman"/>
          <w:b/>
          <w:sz w:val="24"/>
          <w:szCs w:val="24"/>
          <w:lang w:val="uk-UA" w:eastAsia="ru-RU"/>
        </w:rPr>
        <w:t>Начальник відділу загального, контролю</w:t>
      </w:r>
    </w:p>
    <w:p w:rsidR="00FD2CEB" w:rsidRPr="00FD2CEB" w:rsidRDefault="00FD2CEB" w:rsidP="00FD2CEB">
      <w:pPr>
        <w:tabs>
          <w:tab w:val="left" w:pos="6946"/>
        </w:tabs>
        <w:autoSpaceDN w:val="0"/>
        <w:spacing w:after="0" w:line="240" w:lineRule="auto"/>
        <w:jc w:val="both"/>
        <w:rPr>
          <w:rFonts w:asciiTheme="minorHAnsi" w:eastAsiaTheme="minorHAnsi" w:hAnsiTheme="minorHAnsi" w:cstheme="minorBidi"/>
          <w:lang w:val="uk-UA"/>
        </w:rPr>
      </w:pPr>
      <w:r w:rsidRPr="00FD2CEB">
        <w:rPr>
          <w:rFonts w:ascii="Times New Roman" w:hAnsi="Times New Roman"/>
          <w:b/>
          <w:sz w:val="24"/>
          <w:szCs w:val="24"/>
          <w:lang w:val="uk-UA" w:eastAsia="ru-RU"/>
        </w:rPr>
        <w:t>та роботи із зверненнями громадян</w:t>
      </w:r>
      <w:r w:rsidRPr="00FD2CEB">
        <w:rPr>
          <w:rFonts w:ascii="Times New Roman" w:hAnsi="Times New Roman"/>
          <w:b/>
          <w:sz w:val="24"/>
          <w:szCs w:val="24"/>
          <w:lang w:val="uk-UA" w:eastAsia="ru-RU"/>
        </w:rPr>
        <w:tab/>
        <w:t>Олена ГРИГОР’ЄВА</w:t>
      </w:r>
    </w:p>
    <w:p w:rsidR="00FD2CEB" w:rsidRPr="0010049D" w:rsidRDefault="00FD2CEB">
      <w:pPr>
        <w:rPr>
          <w:lang w:val="uk-UA"/>
        </w:rPr>
      </w:pPr>
    </w:p>
    <w:sectPr w:rsidR="00FD2CEB" w:rsidRPr="0010049D" w:rsidSect="00B65E72">
      <w:headerReference w:type="default" r:id="rId14"/>
      <w:pgSz w:w="11906" w:h="16838"/>
      <w:pgMar w:top="851"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7D7" w:rsidRDefault="002D57D7" w:rsidP="00B65E72">
      <w:pPr>
        <w:spacing w:after="0" w:line="240" w:lineRule="auto"/>
      </w:pPr>
      <w:r>
        <w:separator/>
      </w:r>
    </w:p>
  </w:endnote>
  <w:endnote w:type="continuationSeparator" w:id="0">
    <w:p w:rsidR="002D57D7" w:rsidRDefault="002D57D7" w:rsidP="00B65E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7D7" w:rsidRDefault="002D57D7" w:rsidP="00B65E72">
      <w:pPr>
        <w:spacing w:after="0" w:line="240" w:lineRule="auto"/>
      </w:pPr>
      <w:r>
        <w:separator/>
      </w:r>
    </w:p>
  </w:footnote>
  <w:footnote w:type="continuationSeparator" w:id="0">
    <w:p w:rsidR="002D57D7" w:rsidRDefault="002D57D7" w:rsidP="00B65E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E72" w:rsidRDefault="002D57D7" w:rsidP="00B65E72">
    <w:pPr>
      <w:pStyle w:val="a5"/>
      <w:tabs>
        <w:tab w:val="left" w:pos="6663"/>
      </w:tabs>
    </w:pPr>
    <w:sdt>
      <w:sdtPr>
        <w:rPr>
          <w:rFonts w:ascii="Times New Roman" w:hAnsi="Times New Roman" w:cs="Times New Roman"/>
          <w:sz w:val="24"/>
          <w:szCs w:val="24"/>
        </w:rPr>
        <w:id w:val="9597735"/>
        <w:docPartObj>
          <w:docPartGallery w:val="Page Numbers (Top of Page)"/>
          <w:docPartUnique/>
        </w:docPartObj>
      </w:sdtPr>
      <w:sdtEndPr/>
      <w:sdtContent>
        <w:r w:rsidR="00B65E72" w:rsidRPr="00B65E72">
          <w:rPr>
            <w:rFonts w:ascii="Times New Roman" w:hAnsi="Times New Roman" w:cs="Times New Roman"/>
            <w:sz w:val="24"/>
            <w:szCs w:val="24"/>
          </w:rPr>
          <w:tab/>
        </w:r>
        <w:r w:rsidR="008E0F3B" w:rsidRPr="00B65E72">
          <w:rPr>
            <w:rFonts w:ascii="Times New Roman" w:hAnsi="Times New Roman" w:cs="Times New Roman"/>
            <w:sz w:val="24"/>
            <w:szCs w:val="24"/>
          </w:rPr>
          <w:fldChar w:fldCharType="begin"/>
        </w:r>
        <w:r w:rsidR="00B65E72" w:rsidRPr="00B65E72">
          <w:rPr>
            <w:rFonts w:ascii="Times New Roman" w:hAnsi="Times New Roman" w:cs="Times New Roman"/>
            <w:sz w:val="24"/>
            <w:szCs w:val="24"/>
          </w:rPr>
          <w:instrText xml:space="preserve"> PAGE   \* MERGEFORMAT </w:instrText>
        </w:r>
        <w:r w:rsidR="008E0F3B" w:rsidRPr="00B65E72">
          <w:rPr>
            <w:rFonts w:ascii="Times New Roman" w:hAnsi="Times New Roman" w:cs="Times New Roman"/>
            <w:sz w:val="24"/>
            <w:szCs w:val="24"/>
          </w:rPr>
          <w:fldChar w:fldCharType="separate"/>
        </w:r>
        <w:r w:rsidR="00A654BF">
          <w:rPr>
            <w:rFonts w:ascii="Times New Roman" w:hAnsi="Times New Roman" w:cs="Times New Roman"/>
            <w:noProof/>
            <w:sz w:val="24"/>
            <w:szCs w:val="24"/>
          </w:rPr>
          <w:t>5</w:t>
        </w:r>
        <w:r w:rsidR="008E0F3B" w:rsidRPr="00B65E72">
          <w:rPr>
            <w:rFonts w:ascii="Times New Roman" w:hAnsi="Times New Roman" w:cs="Times New Roman"/>
            <w:sz w:val="24"/>
            <w:szCs w:val="24"/>
          </w:rPr>
          <w:fldChar w:fldCharType="end"/>
        </w:r>
      </w:sdtContent>
    </w:sdt>
    <w:r w:rsidR="00B65E72" w:rsidRPr="00B65E72">
      <w:rPr>
        <w:rFonts w:ascii="Times New Roman" w:hAnsi="Times New Roman" w:cs="Times New Roman"/>
        <w:sz w:val="24"/>
        <w:szCs w:val="24"/>
      </w:rPr>
      <w:tab/>
    </w:r>
    <w:r w:rsidR="00B65E72" w:rsidRPr="00B65E72">
      <w:rPr>
        <w:rFonts w:ascii="Times New Roman" w:hAnsi="Times New Roman" w:cs="Times New Roman"/>
        <w:sz w:val="24"/>
        <w:szCs w:val="24"/>
        <w:lang w:val="uk-UA"/>
      </w:rPr>
      <w:t>Продовження додатка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BF0664"/>
    <w:multiLevelType w:val="hybridMultilevel"/>
    <w:tmpl w:val="C32AD6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620F23B5"/>
    <w:multiLevelType w:val="hybridMultilevel"/>
    <w:tmpl w:val="2206A0E2"/>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
    <w:nsid w:val="7FB776E1"/>
    <w:multiLevelType w:val="hybridMultilevel"/>
    <w:tmpl w:val="FD1A671E"/>
    <w:lvl w:ilvl="0" w:tplc="91C00062">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Times New Roman"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Times New Roman"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Times New Roman" w:hint="default"/>
      </w:rPr>
    </w:lvl>
    <w:lvl w:ilvl="8" w:tplc="04190005">
      <w:start w:val="1"/>
      <w:numFmt w:val="bullet"/>
      <w:lvlText w:val=""/>
      <w:lvlJc w:val="left"/>
      <w:pPr>
        <w:ind w:left="6828" w:hanging="360"/>
      </w:pPr>
      <w:rPr>
        <w:rFonts w:ascii="Wingdings" w:hAnsi="Wingdings" w:hint="default"/>
      </w:rPr>
    </w:lvl>
  </w:abstractNum>
  <w:num w:numId="1">
    <w:abstractNumId w:val="2"/>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49D"/>
    <w:rsid w:val="000477BB"/>
    <w:rsid w:val="000E5D3B"/>
    <w:rsid w:val="0010049D"/>
    <w:rsid w:val="00114C7C"/>
    <w:rsid w:val="00115D3D"/>
    <w:rsid w:val="001428A5"/>
    <w:rsid w:val="001B31B1"/>
    <w:rsid w:val="00287D37"/>
    <w:rsid w:val="002D57D7"/>
    <w:rsid w:val="002F043D"/>
    <w:rsid w:val="004D165E"/>
    <w:rsid w:val="004D5A9F"/>
    <w:rsid w:val="005F53B2"/>
    <w:rsid w:val="00602838"/>
    <w:rsid w:val="00764755"/>
    <w:rsid w:val="007A0179"/>
    <w:rsid w:val="007C5C9A"/>
    <w:rsid w:val="007D40A0"/>
    <w:rsid w:val="008176A3"/>
    <w:rsid w:val="008D1967"/>
    <w:rsid w:val="008E0F3B"/>
    <w:rsid w:val="00A654BF"/>
    <w:rsid w:val="00AA2D1F"/>
    <w:rsid w:val="00B17CAC"/>
    <w:rsid w:val="00B65E72"/>
    <w:rsid w:val="00C014C3"/>
    <w:rsid w:val="00C45FB4"/>
    <w:rsid w:val="00C65A22"/>
    <w:rsid w:val="00E86A92"/>
    <w:rsid w:val="00ED3018"/>
    <w:rsid w:val="00FA0A90"/>
    <w:rsid w:val="00FD06FB"/>
    <w:rsid w:val="00FD2C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49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D165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D165E"/>
    <w:rPr>
      <w:rFonts w:ascii="Tahoma" w:eastAsia="Calibri" w:hAnsi="Tahoma" w:cs="Tahoma"/>
      <w:sz w:val="16"/>
      <w:szCs w:val="16"/>
    </w:rPr>
  </w:style>
  <w:style w:type="paragraph" w:styleId="a5">
    <w:name w:val="header"/>
    <w:basedOn w:val="a"/>
    <w:link w:val="a6"/>
    <w:uiPriority w:val="99"/>
    <w:unhideWhenUsed/>
    <w:rsid w:val="00764755"/>
    <w:pPr>
      <w:tabs>
        <w:tab w:val="center" w:pos="4677"/>
        <w:tab w:val="right" w:pos="9355"/>
      </w:tabs>
      <w:spacing w:after="0" w:line="240" w:lineRule="auto"/>
    </w:pPr>
    <w:rPr>
      <w:rFonts w:asciiTheme="minorHAnsi" w:eastAsiaTheme="minorHAnsi" w:hAnsiTheme="minorHAnsi" w:cstheme="minorBidi"/>
    </w:rPr>
  </w:style>
  <w:style w:type="character" w:customStyle="1" w:styleId="a6">
    <w:name w:val="Верхний колонтитул Знак"/>
    <w:basedOn w:val="a0"/>
    <w:link w:val="a5"/>
    <w:uiPriority w:val="99"/>
    <w:rsid w:val="00764755"/>
  </w:style>
  <w:style w:type="paragraph" w:styleId="a7">
    <w:name w:val="footer"/>
    <w:basedOn w:val="a"/>
    <w:link w:val="a8"/>
    <w:uiPriority w:val="99"/>
    <w:semiHidden/>
    <w:unhideWhenUsed/>
    <w:rsid w:val="00B65E72"/>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B65E7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49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D165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D165E"/>
    <w:rPr>
      <w:rFonts w:ascii="Tahoma" w:eastAsia="Calibri" w:hAnsi="Tahoma" w:cs="Tahoma"/>
      <w:sz w:val="16"/>
      <w:szCs w:val="16"/>
    </w:rPr>
  </w:style>
  <w:style w:type="paragraph" w:styleId="a5">
    <w:name w:val="header"/>
    <w:basedOn w:val="a"/>
    <w:link w:val="a6"/>
    <w:uiPriority w:val="99"/>
    <w:unhideWhenUsed/>
    <w:rsid w:val="00764755"/>
    <w:pPr>
      <w:tabs>
        <w:tab w:val="center" w:pos="4677"/>
        <w:tab w:val="right" w:pos="9355"/>
      </w:tabs>
      <w:spacing w:after="0" w:line="240" w:lineRule="auto"/>
    </w:pPr>
    <w:rPr>
      <w:rFonts w:asciiTheme="minorHAnsi" w:eastAsiaTheme="minorHAnsi" w:hAnsiTheme="minorHAnsi" w:cstheme="minorBidi"/>
    </w:rPr>
  </w:style>
  <w:style w:type="character" w:customStyle="1" w:styleId="a6">
    <w:name w:val="Верхний колонтитул Знак"/>
    <w:basedOn w:val="a0"/>
    <w:link w:val="a5"/>
    <w:uiPriority w:val="99"/>
    <w:rsid w:val="00764755"/>
  </w:style>
  <w:style w:type="paragraph" w:styleId="a7">
    <w:name w:val="footer"/>
    <w:basedOn w:val="a"/>
    <w:link w:val="a8"/>
    <w:uiPriority w:val="99"/>
    <w:semiHidden/>
    <w:unhideWhenUsed/>
    <w:rsid w:val="00B65E72"/>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B65E7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774915">
      <w:bodyDiv w:val="1"/>
      <w:marLeft w:val="0"/>
      <w:marRight w:val="0"/>
      <w:marTop w:val="0"/>
      <w:marBottom w:val="0"/>
      <w:divBdr>
        <w:top w:val="none" w:sz="0" w:space="0" w:color="auto"/>
        <w:left w:val="none" w:sz="0" w:space="0" w:color="auto"/>
        <w:bottom w:val="none" w:sz="0" w:space="0" w:color="auto"/>
        <w:right w:val="none" w:sz="0" w:space="0" w:color="auto"/>
      </w:divBdr>
    </w:div>
    <w:div w:id="1551267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hart" Target="charts/chart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Порівняння кількості звернень</a:t>
            </a:r>
            <a:r>
              <a:rPr lang="ru-RU" sz="1400" baseline="0"/>
              <a:t> </a:t>
            </a:r>
            <a:r>
              <a:rPr lang="ru-RU" sz="1400"/>
              <a:t>громадян за</a:t>
            </a:r>
          </a:p>
          <a:p>
            <a:pPr>
              <a:defRPr/>
            </a:pPr>
            <a:r>
              <a:rPr lang="ru-RU" sz="1400"/>
              <a:t> І півріччя 2021 та 2020 рр.</a:t>
            </a:r>
          </a:p>
        </c:rich>
      </c:tx>
      <c:layout>
        <c:manualLayout>
          <c:xMode val="edge"/>
          <c:yMode val="edge"/>
          <c:x val="0.12070761711797937"/>
          <c:y val="0"/>
        </c:manualLayout>
      </c:layout>
      <c:overlay val="0"/>
    </c:title>
    <c:autoTitleDeleted val="0"/>
    <c:plotArea>
      <c:layout/>
      <c:barChart>
        <c:barDir val="col"/>
        <c:grouping val="stacked"/>
        <c:varyColors val="0"/>
        <c:ser>
          <c:idx val="0"/>
          <c:order val="0"/>
          <c:tx>
            <c:strRef>
              <c:f>Лист1!$B$1</c:f>
              <c:strCache>
                <c:ptCount val="1"/>
                <c:pt idx="0">
                  <c:v>Порівняння кількості звернень за І півріччя 2021 та 2020 рр.</c:v>
                </c:pt>
              </c:strCache>
            </c:strRef>
          </c:tx>
          <c:invertIfNegative val="0"/>
          <c:dPt>
            <c:idx val="1"/>
            <c:invertIfNegative val="0"/>
            <c:bubble3D val="0"/>
            <c:spPr>
              <a:solidFill>
                <a:srgbClr val="FF0000"/>
              </a:solidFill>
            </c:spPr>
          </c:dPt>
          <c:dLbls>
            <c:dLbl>
              <c:idx val="0"/>
              <c:layout>
                <c:manualLayout>
                  <c:x val="0"/>
                  <c:y val="-0.30529691680167587"/>
                </c:manualLayout>
              </c:layout>
              <c:dLblPos val="ctr"/>
              <c:showLegendKey val="0"/>
              <c:showVal val="1"/>
              <c:showCatName val="0"/>
              <c:showSerName val="0"/>
              <c:showPercent val="0"/>
              <c:showBubbleSize val="0"/>
            </c:dLbl>
            <c:dLbl>
              <c:idx val="1"/>
              <c:layout>
                <c:manualLayout>
                  <c:x val="-2.3147905573012717E-3"/>
                  <c:y val="-0.38064412107865625"/>
                </c:manualLayout>
              </c:layout>
              <c:dLblPos val="ctr"/>
              <c:showLegendKey val="0"/>
              <c:showVal val="1"/>
              <c:showCatName val="0"/>
              <c:showSerName val="0"/>
              <c:showPercent val="0"/>
              <c:showBubbleSize val="0"/>
            </c:dLbl>
            <c:txPr>
              <a:bodyPr/>
              <a:lstStyle/>
              <a:p>
                <a:pPr>
                  <a:defRPr sz="1600" b="1"/>
                </a:pPr>
                <a:endParaRPr lang="ru-RU"/>
              </a:p>
            </c:txPr>
            <c:dLblPos val="inEnd"/>
            <c:showLegendKey val="0"/>
            <c:showVal val="1"/>
            <c:showCatName val="0"/>
            <c:showSerName val="0"/>
            <c:showPercent val="0"/>
            <c:showBubbleSize val="0"/>
            <c:showLeaderLines val="0"/>
          </c:dLbls>
          <c:cat>
            <c:strRef>
              <c:f>Лист1!$A$2:$A$3</c:f>
              <c:strCache>
                <c:ptCount val="2"/>
                <c:pt idx="0">
                  <c:v>2021 рік</c:v>
                </c:pt>
                <c:pt idx="1">
                  <c:v>2020 рік</c:v>
                </c:pt>
              </c:strCache>
            </c:strRef>
          </c:cat>
          <c:val>
            <c:numRef>
              <c:f>Лист1!$B$2:$B$3</c:f>
              <c:numCache>
                <c:formatCode>General</c:formatCode>
                <c:ptCount val="2"/>
                <c:pt idx="0">
                  <c:v>1091</c:v>
                </c:pt>
                <c:pt idx="1">
                  <c:v>756</c:v>
                </c:pt>
              </c:numCache>
            </c:numRef>
          </c:val>
        </c:ser>
        <c:dLbls>
          <c:showLegendKey val="0"/>
          <c:showVal val="0"/>
          <c:showCatName val="0"/>
          <c:showSerName val="0"/>
          <c:showPercent val="0"/>
          <c:showBubbleSize val="0"/>
        </c:dLbls>
        <c:gapWidth val="75"/>
        <c:overlap val="100"/>
        <c:axId val="132298240"/>
        <c:axId val="132299776"/>
      </c:barChart>
      <c:catAx>
        <c:axId val="132298240"/>
        <c:scaling>
          <c:orientation val="minMax"/>
        </c:scaling>
        <c:delete val="0"/>
        <c:axPos val="b"/>
        <c:numFmt formatCode="General" sourceLinked="1"/>
        <c:majorTickMark val="none"/>
        <c:minorTickMark val="none"/>
        <c:tickLblPos val="nextTo"/>
        <c:txPr>
          <a:bodyPr/>
          <a:lstStyle/>
          <a:p>
            <a:pPr>
              <a:defRPr sz="1400" b="1"/>
            </a:pPr>
            <a:endParaRPr lang="ru-RU"/>
          </a:p>
        </c:txPr>
        <c:crossAx val="132299776"/>
        <c:crosses val="autoZero"/>
        <c:auto val="1"/>
        <c:lblAlgn val="ctr"/>
        <c:lblOffset val="100"/>
        <c:noMultiLvlLbl val="0"/>
      </c:catAx>
      <c:valAx>
        <c:axId val="132299776"/>
        <c:scaling>
          <c:orientation val="minMax"/>
        </c:scaling>
        <c:delete val="1"/>
        <c:axPos val="l"/>
        <c:majorGridlines/>
        <c:numFmt formatCode="General" sourceLinked="1"/>
        <c:majorTickMark val="none"/>
        <c:minorTickMark val="none"/>
        <c:tickLblPos val="none"/>
        <c:crossAx val="132298240"/>
        <c:crosses val="autoZero"/>
        <c:crossBetween val="between"/>
      </c:valAx>
    </c:plotArea>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ru-RU" sz="1400"/>
              <a:t>Надійшло</a:t>
            </a:r>
            <a:r>
              <a:rPr lang="ru-RU" sz="1400" baseline="0"/>
              <a:t> звернень у 2021 р. у порівнянні з 2020 р.</a:t>
            </a:r>
            <a:endParaRPr lang="ru-RU" sz="1400"/>
          </a:p>
        </c:rich>
      </c:tx>
      <c:overlay val="0"/>
    </c:title>
    <c:autoTitleDeleted val="0"/>
    <c:plotArea>
      <c:layout/>
      <c:barChart>
        <c:barDir val="col"/>
        <c:grouping val="clustered"/>
        <c:varyColors val="0"/>
        <c:ser>
          <c:idx val="0"/>
          <c:order val="0"/>
          <c:tx>
            <c:strRef>
              <c:f>Лист1!$B$1</c:f>
              <c:strCache>
                <c:ptCount val="1"/>
                <c:pt idx="0">
                  <c:v>2021 рік</c:v>
                </c:pt>
              </c:strCache>
            </c:strRef>
          </c:tx>
          <c:invertIfNegative val="0"/>
          <c:dLbls>
            <c:txPr>
              <a:bodyPr/>
              <a:lstStyle/>
              <a:p>
                <a:pPr>
                  <a:defRPr sz="1600" b="1"/>
                </a:pPr>
                <a:endParaRPr lang="ru-RU"/>
              </a:p>
            </c:txPr>
            <c:showLegendKey val="0"/>
            <c:showVal val="1"/>
            <c:showCatName val="0"/>
            <c:showSerName val="0"/>
            <c:showPercent val="0"/>
            <c:showBubbleSize val="0"/>
            <c:showLeaderLines val="0"/>
          </c:dLbls>
          <c:cat>
            <c:strRef>
              <c:f>Лист1!$A$2:$A$5</c:f>
              <c:strCache>
                <c:ptCount val="4"/>
                <c:pt idx="0">
                  <c:v>Надійшло поштою</c:v>
                </c:pt>
                <c:pt idx="1">
                  <c:v>На особистих прийомах</c:v>
                </c:pt>
                <c:pt idx="2">
                  <c:v>Кіровоградська ОДА</c:v>
                </c:pt>
                <c:pt idx="3">
                  <c:v>Обласний контактний центр</c:v>
                </c:pt>
              </c:strCache>
            </c:strRef>
          </c:cat>
          <c:val>
            <c:numRef>
              <c:f>Лист1!$B$2:$B$5</c:f>
              <c:numCache>
                <c:formatCode>General</c:formatCode>
                <c:ptCount val="4"/>
                <c:pt idx="0">
                  <c:v>808</c:v>
                </c:pt>
                <c:pt idx="1">
                  <c:v>14</c:v>
                </c:pt>
                <c:pt idx="2">
                  <c:v>29</c:v>
                </c:pt>
                <c:pt idx="3">
                  <c:v>239</c:v>
                </c:pt>
              </c:numCache>
            </c:numRef>
          </c:val>
        </c:ser>
        <c:ser>
          <c:idx val="1"/>
          <c:order val="1"/>
          <c:tx>
            <c:strRef>
              <c:f>Лист1!$C$1</c:f>
              <c:strCache>
                <c:ptCount val="1"/>
                <c:pt idx="0">
                  <c:v>2020 рік</c:v>
                </c:pt>
              </c:strCache>
            </c:strRef>
          </c:tx>
          <c:invertIfNegative val="0"/>
          <c:dLbls>
            <c:txPr>
              <a:bodyPr/>
              <a:lstStyle/>
              <a:p>
                <a:pPr>
                  <a:defRPr sz="1600" b="1"/>
                </a:pPr>
                <a:endParaRPr lang="ru-RU"/>
              </a:p>
            </c:txPr>
            <c:showLegendKey val="0"/>
            <c:showVal val="1"/>
            <c:showCatName val="0"/>
            <c:showSerName val="0"/>
            <c:showPercent val="0"/>
            <c:showBubbleSize val="0"/>
            <c:showLeaderLines val="0"/>
          </c:dLbls>
          <c:cat>
            <c:strRef>
              <c:f>Лист1!$A$2:$A$5</c:f>
              <c:strCache>
                <c:ptCount val="4"/>
                <c:pt idx="0">
                  <c:v>Надійшло поштою</c:v>
                </c:pt>
                <c:pt idx="1">
                  <c:v>На особистих прийомах</c:v>
                </c:pt>
                <c:pt idx="2">
                  <c:v>Кіровоградська ОДА</c:v>
                </c:pt>
                <c:pt idx="3">
                  <c:v>Обласний контактний центр</c:v>
                </c:pt>
              </c:strCache>
            </c:strRef>
          </c:cat>
          <c:val>
            <c:numRef>
              <c:f>Лист1!$C$2:$C$5</c:f>
              <c:numCache>
                <c:formatCode>General</c:formatCode>
                <c:ptCount val="4"/>
                <c:pt idx="0">
                  <c:v>504</c:v>
                </c:pt>
                <c:pt idx="1">
                  <c:v>41</c:v>
                </c:pt>
                <c:pt idx="2">
                  <c:v>13</c:v>
                </c:pt>
                <c:pt idx="3">
                  <c:v>198</c:v>
                </c:pt>
              </c:numCache>
            </c:numRef>
          </c:val>
        </c:ser>
        <c:dLbls>
          <c:showLegendKey val="0"/>
          <c:showVal val="0"/>
          <c:showCatName val="0"/>
          <c:showSerName val="0"/>
          <c:showPercent val="0"/>
          <c:showBubbleSize val="0"/>
        </c:dLbls>
        <c:gapWidth val="75"/>
        <c:overlap val="-25"/>
        <c:axId val="132542848"/>
        <c:axId val="132544384"/>
      </c:barChart>
      <c:catAx>
        <c:axId val="132542848"/>
        <c:scaling>
          <c:orientation val="minMax"/>
        </c:scaling>
        <c:delete val="0"/>
        <c:axPos val="b"/>
        <c:majorTickMark val="none"/>
        <c:minorTickMark val="none"/>
        <c:tickLblPos val="nextTo"/>
        <c:txPr>
          <a:bodyPr/>
          <a:lstStyle/>
          <a:p>
            <a:pPr>
              <a:defRPr b="1"/>
            </a:pPr>
            <a:endParaRPr lang="ru-RU"/>
          </a:p>
        </c:txPr>
        <c:crossAx val="132544384"/>
        <c:crosses val="autoZero"/>
        <c:auto val="1"/>
        <c:lblAlgn val="ctr"/>
        <c:lblOffset val="100"/>
        <c:noMultiLvlLbl val="0"/>
      </c:catAx>
      <c:valAx>
        <c:axId val="132544384"/>
        <c:scaling>
          <c:orientation val="minMax"/>
        </c:scaling>
        <c:delete val="1"/>
        <c:axPos val="l"/>
        <c:majorGridlines/>
        <c:numFmt formatCode="General" sourceLinked="1"/>
        <c:majorTickMark val="none"/>
        <c:minorTickMark val="none"/>
        <c:tickLblPos val="none"/>
        <c:crossAx val="132542848"/>
        <c:crosses val="autoZero"/>
        <c:crossBetween val="between"/>
      </c:valAx>
    </c:plotArea>
    <c:legend>
      <c:legendPos val="b"/>
      <c:overlay val="0"/>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800"/>
            </a:pPr>
            <a:r>
              <a:rPr lang="uk-UA" sz="1800"/>
              <a:t>Основні питання, що порушувались у зверненнях громадян протягом І півріччя 2021 року</a:t>
            </a:r>
            <a:endParaRPr lang="ru-RU" sz="1800"/>
          </a:p>
        </c:rich>
      </c:tx>
      <c:layout>
        <c:manualLayout>
          <c:xMode val="edge"/>
          <c:yMode val="edge"/>
          <c:x val="0.15089905369122353"/>
          <c:y val="2.1481482264562642E-2"/>
        </c:manualLayout>
      </c:layout>
      <c:overlay val="0"/>
    </c:title>
    <c:autoTitleDeleted val="0"/>
    <c:view3D>
      <c:rotX val="15"/>
      <c:rotY val="20"/>
      <c:rAngAx val="1"/>
    </c:view3D>
    <c:floor>
      <c:thickness val="0"/>
    </c:floor>
    <c:sideWall>
      <c:thickness val="0"/>
      <c:spPr>
        <a:noFill/>
        <a:ln w="25400">
          <a:noFill/>
        </a:ln>
      </c:spPr>
    </c:sideWall>
    <c:backWall>
      <c:thickness val="0"/>
      <c:spPr>
        <a:noFill/>
        <a:ln w="25400">
          <a:noFill/>
        </a:ln>
      </c:spPr>
    </c:backWall>
    <c:plotArea>
      <c:layout/>
      <c:bar3DChart>
        <c:barDir val="col"/>
        <c:grouping val="clustered"/>
        <c:varyColors val="0"/>
        <c:ser>
          <c:idx val="0"/>
          <c:order val="0"/>
          <c:tx>
            <c:strRef>
              <c:f>Лист1!$B$1</c:f>
              <c:strCache>
                <c:ptCount val="1"/>
                <c:pt idx="0">
                  <c:v>2021 рік</c:v>
                </c:pt>
              </c:strCache>
            </c:strRef>
          </c:tx>
          <c:invertIfNegative val="0"/>
          <c:cat>
            <c:strRef>
              <c:f>Лист1!$A$2:$A$19</c:f>
              <c:strCache>
                <c:ptCount val="18"/>
                <c:pt idx="0">
                  <c:v>аграрна політика і земельні відносини </c:v>
                </c:pt>
                <c:pt idx="1">
                  <c:v>транспорт і зв`язок </c:v>
                </c:pt>
                <c:pt idx="2">
                  <c:v>економічна політика та будівництво, підприємництво </c:v>
                </c:pt>
                <c:pt idx="3">
                  <c:v>фінансова, податкова, митна політика </c:v>
                </c:pt>
                <c:pt idx="4">
                  <c:v>соціальна політика, соціальний захист </c:v>
                </c:pt>
                <c:pt idx="5">
                  <c:v>праця і заробітна плата </c:v>
                </c:pt>
                <c:pt idx="6">
                  <c:v>охорона здоров’я </c:v>
                </c:pt>
                <c:pt idx="7">
                  <c:v>комунальне господарство </c:v>
                </c:pt>
                <c:pt idx="8">
                  <c:v>житлова політика </c:v>
                </c:pt>
                <c:pt idx="9">
                  <c:v>екологія та природні ресурси </c:v>
                </c:pt>
                <c:pt idx="10">
                  <c:v>забезпечення дотримання законності та охорони правопорядку, реалізації прав і свобод громадян, запобігання дискримінації</c:v>
                </c:pt>
                <c:pt idx="11">
                  <c:v>сімейна та гендерна політика, захист прав дітей </c:v>
                </c:pt>
                <c:pt idx="12">
                  <c:v>молодь, фізична культура і спорт </c:v>
                </c:pt>
                <c:pt idx="13">
                  <c:v>культура та культурна спадщина, туризм</c:v>
                </c:pt>
                <c:pt idx="14">
                  <c:v>освіта, наукова, науково-технічна, інтелектуальна власність </c:v>
                </c:pt>
                <c:pt idx="15">
                  <c:v>інформаційна політика, діяльність засобів масової інформації </c:v>
                </c:pt>
                <c:pt idx="16">
                  <c:v>діяльність органів місцевого самоврядування </c:v>
                </c:pt>
                <c:pt idx="17">
                  <c:v>інше </c:v>
                </c:pt>
              </c:strCache>
            </c:strRef>
          </c:cat>
          <c:val>
            <c:numRef>
              <c:f>Лист1!$B$2:$B$19</c:f>
              <c:numCache>
                <c:formatCode>General</c:formatCode>
                <c:ptCount val="18"/>
                <c:pt idx="0">
                  <c:v>252</c:v>
                </c:pt>
                <c:pt idx="1">
                  <c:v>2</c:v>
                </c:pt>
                <c:pt idx="2">
                  <c:v>15</c:v>
                </c:pt>
                <c:pt idx="3">
                  <c:v>1</c:v>
                </c:pt>
                <c:pt idx="4">
                  <c:v>370</c:v>
                </c:pt>
                <c:pt idx="5">
                  <c:v>98</c:v>
                </c:pt>
                <c:pt idx="6">
                  <c:v>68</c:v>
                </c:pt>
                <c:pt idx="7">
                  <c:v>147</c:v>
                </c:pt>
                <c:pt idx="8">
                  <c:v>47</c:v>
                </c:pt>
                <c:pt idx="9">
                  <c:v>8</c:v>
                </c:pt>
                <c:pt idx="10">
                  <c:v>14</c:v>
                </c:pt>
                <c:pt idx="11">
                  <c:v>20</c:v>
                </c:pt>
                <c:pt idx="12">
                  <c:v>2</c:v>
                </c:pt>
                <c:pt idx="13">
                  <c:v>2</c:v>
                </c:pt>
                <c:pt idx="14">
                  <c:v>8</c:v>
                </c:pt>
                <c:pt idx="15">
                  <c:v>0</c:v>
                </c:pt>
                <c:pt idx="16">
                  <c:v>0</c:v>
                </c:pt>
                <c:pt idx="17">
                  <c:v>28</c:v>
                </c:pt>
              </c:numCache>
            </c:numRef>
          </c:val>
        </c:ser>
        <c:ser>
          <c:idx val="1"/>
          <c:order val="1"/>
          <c:tx>
            <c:strRef>
              <c:f>Лист1!$C$1</c:f>
              <c:strCache>
                <c:ptCount val="1"/>
                <c:pt idx="0">
                  <c:v>2020 рік</c:v>
                </c:pt>
              </c:strCache>
            </c:strRef>
          </c:tx>
          <c:invertIfNegative val="0"/>
          <c:cat>
            <c:strRef>
              <c:f>Лист1!$A$2:$A$19</c:f>
              <c:strCache>
                <c:ptCount val="18"/>
                <c:pt idx="0">
                  <c:v>аграрна політика і земельні відносини </c:v>
                </c:pt>
                <c:pt idx="1">
                  <c:v>транспорт і зв`язок </c:v>
                </c:pt>
                <c:pt idx="2">
                  <c:v>економічна політика та будівництво, підприємництво </c:v>
                </c:pt>
                <c:pt idx="3">
                  <c:v>фінансова, податкова, митна політика </c:v>
                </c:pt>
                <c:pt idx="4">
                  <c:v>соціальна політика, соціальний захист </c:v>
                </c:pt>
                <c:pt idx="5">
                  <c:v>праця і заробітна плата </c:v>
                </c:pt>
                <c:pt idx="6">
                  <c:v>охорона здоров’я </c:v>
                </c:pt>
                <c:pt idx="7">
                  <c:v>комунальне господарство </c:v>
                </c:pt>
                <c:pt idx="8">
                  <c:v>житлова політика </c:v>
                </c:pt>
                <c:pt idx="9">
                  <c:v>екологія та природні ресурси </c:v>
                </c:pt>
                <c:pt idx="10">
                  <c:v>забезпечення дотримання законності та охорони правопорядку, реалізації прав і свобод громадян, запобігання дискримінації</c:v>
                </c:pt>
                <c:pt idx="11">
                  <c:v>сімейна та гендерна політика, захист прав дітей </c:v>
                </c:pt>
                <c:pt idx="12">
                  <c:v>молодь, фізична культура і спорт </c:v>
                </c:pt>
                <c:pt idx="13">
                  <c:v>культура та культурна спадщина, туризм</c:v>
                </c:pt>
                <c:pt idx="14">
                  <c:v>освіта, наукова, науково-технічна, інтелектуальна власність </c:v>
                </c:pt>
                <c:pt idx="15">
                  <c:v>інформаційна політика, діяльність засобів масової інформації </c:v>
                </c:pt>
                <c:pt idx="16">
                  <c:v>діяльність органів місцевого самоврядування </c:v>
                </c:pt>
                <c:pt idx="17">
                  <c:v>інше </c:v>
                </c:pt>
              </c:strCache>
            </c:strRef>
          </c:cat>
          <c:val>
            <c:numRef>
              <c:f>Лист1!$C$2:$C$19</c:f>
              <c:numCache>
                <c:formatCode>General</c:formatCode>
                <c:ptCount val="18"/>
                <c:pt idx="0">
                  <c:v>95</c:v>
                </c:pt>
                <c:pt idx="1">
                  <c:v>10</c:v>
                </c:pt>
                <c:pt idx="2">
                  <c:v>27</c:v>
                </c:pt>
                <c:pt idx="3">
                  <c:v>1</c:v>
                </c:pt>
                <c:pt idx="4">
                  <c:v>328</c:v>
                </c:pt>
                <c:pt idx="5">
                  <c:v>58</c:v>
                </c:pt>
                <c:pt idx="6">
                  <c:v>63</c:v>
                </c:pt>
                <c:pt idx="7">
                  <c:v>86</c:v>
                </c:pt>
                <c:pt idx="8">
                  <c:v>25</c:v>
                </c:pt>
                <c:pt idx="9">
                  <c:v>4</c:v>
                </c:pt>
                <c:pt idx="10">
                  <c:v>13</c:v>
                </c:pt>
                <c:pt idx="11">
                  <c:v>9</c:v>
                </c:pt>
                <c:pt idx="12">
                  <c:v>0</c:v>
                </c:pt>
                <c:pt idx="13">
                  <c:v>1</c:v>
                </c:pt>
                <c:pt idx="14">
                  <c:v>1</c:v>
                </c:pt>
                <c:pt idx="15">
                  <c:v>1</c:v>
                </c:pt>
                <c:pt idx="16">
                  <c:v>2</c:v>
                </c:pt>
                <c:pt idx="17">
                  <c:v>39</c:v>
                </c:pt>
              </c:numCache>
            </c:numRef>
          </c:val>
        </c:ser>
        <c:dLbls>
          <c:showLegendKey val="0"/>
          <c:showVal val="0"/>
          <c:showCatName val="0"/>
          <c:showSerName val="0"/>
          <c:showPercent val="0"/>
          <c:showBubbleSize val="0"/>
        </c:dLbls>
        <c:gapWidth val="150"/>
        <c:shape val="box"/>
        <c:axId val="132311680"/>
        <c:axId val="132637056"/>
        <c:axId val="0"/>
      </c:bar3DChart>
      <c:catAx>
        <c:axId val="132311680"/>
        <c:scaling>
          <c:orientation val="minMax"/>
        </c:scaling>
        <c:delete val="0"/>
        <c:axPos val="b"/>
        <c:majorTickMark val="none"/>
        <c:minorTickMark val="none"/>
        <c:tickLblPos val="nextTo"/>
        <c:crossAx val="132637056"/>
        <c:crosses val="autoZero"/>
        <c:auto val="1"/>
        <c:lblAlgn val="ctr"/>
        <c:lblOffset val="100"/>
        <c:noMultiLvlLbl val="0"/>
      </c:catAx>
      <c:valAx>
        <c:axId val="132637056"/>
        <c:scaling>
          <c:orientation val="minMax"/>
        </c:scaling>
        <c:delete val="1"/>
        <c:axPos val="l"/>
        <c:majorGridlines/>
        <c:numFmt formatCode="General" sourceLinked="1"/>
        <c:majorTickMark val="none"/>
        <c:minorTickMark val="none"/>
        <c:tickLblPos val="none"/>
        <c:crossAx val="132311680"/>
        <c:crosses val="autoZero"/>
        <c:crossBetween val="between"/>
      </c:valAx>
      <c:dTable>
        <c:showHorzBorder val="1"/>
        <c:showVertBorder val="1"/>
        <c:showOutline val="1"/>
        <c:showKeys val="1"/>
        <c:txPr>
          <a:bodyPr/>
          <a:lstStyle/>
          <a:p>
            <a:pPr rtl="0">
              <a:defRPr sz="700"/>
            </a:pPr>
            <a:endParaRPr lang="ru-RU"/>
          </a:p>
        </c:txPr>
      </c:dTable>
    </c:plotArea>
    <c:plotVisOnly val="1"/>
    <c:dispBlanksAs val="gap"/>
    <c:showDLblsOverMax val="0"/>
  </c:chart>
  <c:spPr>
    <a:noFill/>
    <a:ln>
      <a:noFill/>
    </a:ln>
  </c:spPr>
  <c:txPr>
    <a:bodyPr/>
    <a:lstStyle/>
    <a:p>
      <a:pPr>
        <a:defRPr b="1"/>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800"/>
          </a:pPr>
          <a:endParaRPr lang="ru-RU"/>
        </a:p>
      </c:txPr>
    </c:title>
    <c:autoTitleDeleted val="0"/>
    <c:plotArea>
      <c:layout/>
      <c:pieChart>
        <c:varyColors val="1"/>
        <c:ser>
          <c:idx val="0"/>
          <c:order val="0"/>
          <c:tx>
            <c:strRef>
              <c:f>Лист1!$B$1</c:f>
              <c:strCache>
                <c:ptCount val="1"/>
                <c:pt idx="0">
                  <c:v>Соціальний стан авторів звернень</c:v>
                </c:pt>
              </c:strCache>
            </c:strRef>
          </c:tx>
          <c:explosion val="25"/>
          <c:dLbls>
            <c:dLbl>
              <c:idx val="0"/>
              <c:layout>
                <c:manualLayout>
                  <c:x val="2.3337281348717778E-2"/>
                  <c:y val="-3.3263005608995179E-2"/>
                </c:manualLayout>
              </c:layout>
              <c:dLblPos val="bestFit"/>
              <c:showLegendKey val="0"/>
              <c:showVal val="1"/>
              <c:showCatName val="0"/>
              <c:showSerName val="0"/>
              <c:showPercent val="0"/>
              <c:showBubbleSize val="0"/>
            </c:dLbl>
            <c:dLbl>
              <c:idx val="1"/>
              <c:layout>
                <c:manualLayout>
                  <c:x val="0"/>
                  <c:y val="-6.954992081880812E-2"/>
                </c:manualLayout>
              </c:layout>
              <c:dLblPos val="bestFit"/>
              <c:showLegendKey val="0"/>
              <c:showVal val="1"/>
              <c:showCatName val="0"/>
              <c:showSerName val="0"/>
              <c:showPercent val="0"/>
              <c:showBubbleSize val="0"/>
            </c:dLbl>
            <c:dLbl>
              <c:idx val="2"/>
              <c:layout>
                <c:manualLayout>
                  <c:x val="2.1215710317016117E-2"/>
                  <c:y val="-7.2573830419625812E-2"/>
                </c:manualLayout>
              </c:layout>
              <c:dLblPos val="bestFit"/>
              <c:showLegendKey val="0"/>
              <c:showVal val="1"/>
              <c:showCatName val="0"/>
              <c:showSerName val="0"/>
              <c:showPercent val="0"/>
              <c:showBubbleSize val="0"/>
            </c:dLbl>
            <c:dLbl>
              <c:idx val="3"/>
              <c:layout>
                <c:manualLayout>
                  <c:x val="0.10183540952167762"/>
                  <c:y val="2.4191276806541932E-2"/>
                </c:manualLayout>
              </c:layout>
              <c:dLblPos val="bestFit"/>
              <c:showLegendKey val="0"/>
              <c:showVal val="1"/>
              <c:showCatName val="0"/>
              <c:showSerName val="0"/>
              <c:showPercent val="0"/>
              <c:showBubbleSize val="0"/>
            </c:dLbl>
            <c:dLbl>
              <c:idx val="4"/>
              <c:layout>
                <c:manualLayout>
                  <c:x val="9.3349125394871155E-2"/>
                  <c:y val="-7.5597740020443574E-2"/>
                </c:manualLayout>
              </c:layout>
              <c:dLblPos val="bestFit"/>
              <c:showLegendKey val="0"/>
              <c:showVal val="1"/>
              <c:showCatName val="0"/>
              <c:showSerName val="0"/>
              <c:showPercent val="0"/>
              <c:showBubbleSize val="0"/>
            </c:dLbl>
            <c:dLbl>
              <c:idx val="5"/>
              <c:layout>
                <c:manualLayout>
                  <c:x val="8.6984412299766292E-2"/>
                  <c:y val="-4.5358644012266122E-2"/>
                </c:manualLayout>
              </c:layout>
              <c:dLblPos val="bestFit"/>
              <c:showLegendKey val="0"/>
              <c:showVal val="1"/>
              <c:showCatName val="0"/>
              <c:showSerName val="0"/>
              <c:showPercent val="0"/>
              <c:showBubbleSize val="0"/>
            </c:dLbl>
            <c:dLbl>
              <c:idx val="6"/>
              <c:layout>
                <c:manualLayout>
                  <c:x val="5.3039275792540495E-2"/>
                  <c:y val="-0.10886074562943869"/>
                </c:manualLayout>
              </c:layout>
              <c:dLblPos val="bestFit"/>
              <c:showLegendKey val="0"/>
              <c:showVal val="1"/>
              <c:showCatName val="0"/>
              <c:showSerName val="0"/>
              <c:showPercent val="0"/>
              <c:showBubbleSize val="0"/>
            </c:dLbl>
            <c:dLbl>
              <c:idx val="7"/>
              <c:layout>
                <c:manualLayout>
                  <c:x val="5.0917704760838824E-2"/>
                  <c:y val="-3.0239096008177431E-2"/>
                </c:manualLayout>
              </c:layout>
              <c:dLblPos val="bestFit"/>
              <c:showLegendKey val="0"/>
              <c:showVal val="1"/>
              <c:showCatName val="0"/>
              <c:showSerName val="0"/>
              <c:showPercent val="0"/>
              <c:showBubbleSize val="0"/>
            </c:dLbl>
            <c:dLbl>
              <c:idx val="8"/>
              <c:layout>
                <c:manualLayout>
                  <c:x val="3.6066707538927496E-2"/>
                  <c:y val="5.5437702260591545E-17"/>
                </c:manualLayout>
              </c:layout>
              <c:dLblPos val="bestFit"/>
              <c:showLegendKey val="0"/>
              <c:showVal val="1"/>
              <c:showCatName val="0"/>
              <c:showSerName val="0"/>
              <c:showPercent val="0"/>
              <c:showBubbleSize val="0"/>
            </c:dLbl>
            <c:dLbl>
              <c:idx val="9"/>
              <c:layout>
                <c:manualLayout>
                  <c:x val="2.7580423412121035E-2"/>
                  <c:y val="6.04781920163548E-2"/>
                </c:manualLayout>
              </c:layout>
              <c:dLblPos val="bestFit"/>
              <c:showLegendKey val="0"/>
              <c:showVal val="1"/>
              <c:showCatName val="0"/>
              <c:showSerName val="0"/>
              <c:showPercent val="0"/>
              <c:showBubbleSize val="0"/>
            </c:dLbl>
            <c:dLbl>
              <c:idx val="10"/>
              <c:layout>
                <c:manualLayout>
                  <c:x val="9.7592267458274415E-2"/>
                  <c:y val="-0.16631502804497578"/>
                </c:manualLayout>
              </c:layout>
              <c:dLblPos val="bestFit"/>
              <c:showLegendKey val="0"/>
              <c:showVal val="1"/>
              <c:showCatName val="0"/>
              <c:showSerName val="0"/>
              <c:showPercent val="0"/>
              <c:showBubbleSize val="0"/>
            </c:dLbl>
            <c:txPr>
              <a:bodyPr/>
              <a:lstStyle/>
              <a:p>
                <a:pPr>
                  <a:defRPr sz="1050" b="1"/>
                </a:pPr>
                <a:endParaRPr lang="ru-RU"/>
              </a:p>
            </c:txPr>
            <c:dLblPos val="outEnd"/>
            <c:showLegendKey val="0"/>
            <c:showVal val="1"/>
            <c:showCatName val="0"/>
            <c:showSerName val="0"/>
            <c:showPercent val="0"/>
            <c:showBubbleSize val="0"/>
            <c:showLeaderLines val="1"/>
          </c:dLbls>
          <c:cat>
            <c:strRef>
              <c:f>Лист1!$A$2:$A$12</c:f>
              <c:strCache>
                <c:ptCount val="11"/>
                <c:pt idx="0">
                  <c:v>Пенсіонери</c:v>
                </c:pt>
                <c:pt idx="1">
                  <c:v>Пенсіонерів з числа військовослужбовців</c:v>
                </c:pt>
                <c:pt idx="2">
                  <c:v>Робітники</c:v>
                </c:pt>
                <c:pt idx="3">
                  <c:v>Селяни</c:v>
                </c:pt>
                <c:pt idx="4">
                  <c:v>Працівники бюджетної сфери</c:v>
                </c:pt>
                <c:pt idx="5">
                  <c:v>державних службовців</c:v>
                </c:pt>
                <c:pt idx="6">
                  <c:v>Військовослужбовців</c:v>
                </c:pt>
                <c:pt idx="7">
                  <c:v>Підприємці</c:v>
                </c:pt>
                <c:pt idx="8">
                  <c:v>Безробітні</c:v>
                </c:pt>
                <c:pt idx="9">
                  <c:v>Учні, студенти</c:v>
                </c:pt>
                <c:pt idx="10">
                  <c:v>Інші</c:v>
                </c:pt>
              </c:strCache>
            </c:strRef>
          </c:cat>
          <c:val>
            <c:numRef>
              <c:f>Лист1!$B$2:$B$12</c:f>
              <c:numCache>
                <c:formatCode>General</c:formatCode>
                <c:ptCount val="11"/>
                <c:pt idx="0">
                  <c:v>151</c:v>
                </c:pt>
                <c:pt idx="1">
                  <c:v>15</c:v>
                </c:pt>
                <c:pt idx="2">
                  <c:v>31</c:v>
                </c:pt>
                <c:pt idx="3">
                  <c:v>1</c:v>
                </c:pt>
                <c:pt idx="4">
                  <c:v>1</c:v>
                </c:pt>
                <c:pt idx="5">
                  <c:v>1</c:v>
                </c:pt>
                <c:pt idx="6">
                  <c:v>1</c:v>
                </c:pt>
                <c:pt idx="7">
                  <c:v>14</c:v>
                </c:pt>
                <c:pt idx="8">
                  <c:v>22</c:v>
                </c:pt>
                <c:pt idx="9">
                  <c:v>1</c:v>
                </c:pt>
                <c:pt idx="10">
                  <c:v>853</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71231279641437795"/>
          <c:y val="0.14682295437872828"/>
          <c:w val="0.27079615711653415"/>
          <c:h val="0.76284572275130103"/>
        </c:manualLayout>
      </c:layout>
      <c:overlay val="0"/>
      <c:txPr>
        <a:bodyPr/>
        <a:lstStyle/>
        <a:p>
          <a:pPr>
            <a:defRPr sz="1050" b="1"/>
          </a:pPr>
          <a:endParaRPr lang="ru-RU"/>
        </a:p>
      </c:txPr>
    </c:legend>
    <c:plotVisOnly val="1"/>
    <c:dispBlanksAs val="zero"/>
    <c:showDLblsOverMax val="0"/>
  </c:chart>
  <c:spPr>
    <a:noFill/>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27292705109103621"/>
          <c:y val="0"/>
        </c:manualLayout>
      </c:layout>
      <c:overlay val="0"/>
    </c:title>
    <c:autoTitleDeleted val="0"/>
    <c:plotArea>
      <c:layout>
        <c:manualLayout>
          <c:layoutTarget val="inner"/>
          <c:xMode val="edge"/>
          <c:yMode val="edge"/>
          <c:x val="6.1217632769163623E-2"/>
          <c:y val="0.24547584863318242"/>
          <c:w val="0.46866472192706227"/>
          <c:h val="0.71963614068157533"/>
        </c:manualLayout>
      </c:layout>
      <c:pieChart>
        <c:varyColors val="1"/>
        <c:ser>
          <c:idx val="0"/>
          <c:order val="0"/>
          <c:tx>
            <c:strRef>
              <c:f>Лист1!$B$1</c:f>
              <c:strCache>
                <c:ptCount val="1"/>
                <c:pt idx="0">
                  <c:v>Категорії авторів звернень</c:v>
                </c:pt>
              </c:strCache>
            </c:strRef>
          </c:tx>
          <c:explosion val="25"/>
          <c:dLbls>
            <c:dLbl>
              <c:idx val="0"/>
              <c:layout>
                <c:manualLayout>
                  <c:x val="-5.8061176835829134E-2"/>
                  <c:y val="8.3980469093767537E-3"/>
                </c:manualLayout>
              </c:layout>
              <c:dLblPos val="bestFit"/>
              <c:showLegendKey val="0"/>
              <c:showVal val="1"/>
              <c:showCatName val="0"/>
              <c:showSerName val="0"/>
              <c:showPercent val="0"/>
              <c:showBubbleSize val="0"/>
            </c:dLbl>
            <c:dLbl>
              <c:idx val="1"/>
              <c:layout>
                <c:manualLayout>
                  <c:x val="-4.4229853276955916E-2"/>
                  <c:y val="-4.8150542137414307E-2"/>
                </c:manualLayout>
              </c:layout>
              <c:dLblPos val="bestFit"/>
              <c:showLegendKey val="0"/>
              <c:showVal val="1"/>
              <c:showCatName val="0"/>
              <c:showSerName val="0"/>
              <c:showPercent val="0"/>
              <c:showBubbleSize val="0"/>
            </c:dLbl>
            <c:dLbl>
              <c:idx val="2"/>
              <c:layout>
                <c:manualLayout>
                  <c:x val="4.2122011375380934E-3"/>
                  <c:y val="-6.3852043370993122E-2"/>
                </c:manualLayout>
              </c:layout>
              <c:dLblPos val="bestFit"/>
              <c:showLegendKey val="0"/>
              <c:showVal val="1"/>
              <c:showCatName val="0"/>
              <c:showSerName val="0"/>
              <c:showPercent val="0"/>
              <c:showBubbleSize val="0"/>
            </c:dLbl>
            <c:dLbl>
              <c:idx val="3"/>
              <c:layout>
                <c:manualLayout>
                  <c:x val="2.504617019554671E-2"/>
                  <c:y val="-3.5780158954143639E-2"/>
                </c:manualLayout>
              </c:layout>
              <c:dLblPos val="bestFit"/>
              <c:showLegendKey val="0"/>
              <c:showVal val="1"/>
              <c:showCatName val="0"/>
              <c:showSerName val="0"/>
              <c:showPercent val="0"/>
              <c:showBubbleSize val="0"/>
            </c:dLbl>
            <c:dLbl>
              <c:idx val="4"/>
              <c:layout>
                <c:manualLayout>
                  <c:x val="2.5137382866346602E-2"/>
                  <c:y val="-2.2148278300240645E-2"/>
                </c:manualLayout>
              </c:layout>
              <c:dLblPos val="bestFit"/>
              <c:showLegendKey val="0"/>
              <c:showVal val="1"/>
              <c:showCatName val="0"/>
              <c:showSerName val="0"/>
              <c:showPercent val="0"/>
              <c:showBubbleSize val="0"/>
            </c:dLbl>
            <c:dLbl>
              <c:idx val="5"/>
              <c:layout>
                <c:manualLayout>
                  <c:x val="2.0605867674958959E-3"/>
                  <c:y val="-2.2148261809894182E-2"/>
                </c:manualLayout>
              </c:layout>
              <c:dLblPos val="bestFit"/>
              <c:showLegendKey val="0"/>
              <c:showVal val="1"/>
              <c:showCatName val="0"/>
              <c:showSerName val="0"/>
              <c:showPercent val="0"/>
              <c:showBubbleSize val="0"/>
            </c:dLbl>
            <c:dLbl>
              <c:idx val="6"/>
              <c:layout>
                <c:manualLayout>
                  <c:x val="1.4560859084052375E-2"/>
                  <c:y val="-8.9568748122320449E-2"/>
                </c:manualLayout>
              </c:layout>
              <c:dLblPos val="bestFit"/>
              <c:showLegendKey val="0"/>
              <c:showVal val="1"/>
              <c:showCatName val="0"/>
              <c:showSerName val="0"/>
              <c:showPercent val="0"/>
              <c:showBubbleSize val="0"/>
            </c:dLbl>
            <c:dLbl>
              <c:idx val="7"/>
              <c:layout>
                <c:manualLayout>
                  <c:x val="3.5166796465061233E-2"/>
                  <c:y val="-9.3826946945489681E-2"/>
                </c:manualLayout>
              </c:layout>
              <c:dLblPos val="bestFit"/>
              <c:showLegendKey val="0"/>
              <c:showVal val="1"/>
              <c:showCatName val="0"/>
              <c:showSerName val="0"/>
              <c:showPercent val="0"/>
              <c:showBubbleSize val="0"/>
            </c:dLbl>
            <c:dLbl>
              <c:idx val="8"/>
              <c:layout>
                <c:manualLayout>
                  <c:x val="4.3819562099576374E-2"/>
                  <c:y val="-4.4296556600481304E-2"/>
                </c:manualLayout>
              </c:layout>
              <c:dLblPos val="bestFit"/>
              <c:showLegendKey val="0"/>
              <c:showVal val="1"/>
              <c:showCatName val="0"/>
              <c:showSerName val="0"/>
              <c:showPercent val="0"/>
              <c:showBubbleSize val="0"/>
            </c:dLbl>
            <c:dLbl>
              <c:idx val="9"/>
              <c:layout>
                <c:manualLayout>
                  <c:x val="8.5350349526954708E-2"/>
                  <c:y val="-2.4216381562775956E-2"/>
                </c:manualLayout>
              </c:layout>
              <c:dLblPos val="bestFit"/>
              <c:showLegendKey val="0"/>
              <c:showVal val="1"/>
              <c:showCatName val="0"/>
              <c:showSerName val="0"/>
              <c:showPercent val="0"/>
              <c:showBubbleSize val="0"/>
            </c:dLbl>
            <c:dLbl>
              <c:idx val="10"/>
              <c:layout>
                <c:manualLayout>
                  <c:x val="3.2969388279934196E-2"/>
                  <c:y val="3.7968448816961431E-2"/>
                </c:manualLayout>
              </c:layout>
              <c:dLblPos val="bestFit"/>
              <c:showLegendKey val="0"/>
              <c:showVal val="1"/>
              <c:showCatName val="0"/>
              <c:showSerName val="0"/>
              <c:showPercent val="0"/>
              <c:showBubbleSize val="0"/>
            </c:dLbl>
            <c:dLbl>
              <c:idx val="11"/>
              <c:layout>
                <c:manualLayout>
                  <c:x val="-8.8582004172555365E-2"/>
                  <c:y val="-4.2089406801873633E-2"/>
                </c:manualLayout>
              </c:layout>
              <c:dLblPos val="bestFit"/>
              <c:showLegendKey val="0"/>
              <c:showVal val="1"/>
              <c:showCatName val="0"/>
              <c:showSerName val="0"/>
              <c:showPercent val="0"/>
              <c:showBubbleSize val="0"/>
            </c:dLbl>
            <c:txPr>
              <a:bodyPr/>
              <a:lstStyle/>
              <a:p>
                <a:pPr>
                  <a:defRPr b="1"/>
                </a:pPr>
                <a:endParaRPr lang="ru-RU"/>
              </a:p>
            </c:txPr>
            <c:dLblPos val="outEnd"/>
            <c:showLegendKey val="0"/>
            <c:showVal val="1"/>
            <c:showCatName val="0"/>
            <c:showSerName val="0"/>
            <c:showPercent val="0"/>
            <c:showBubbleSize val="0"/>
            <c:showLeaderLines val="1"/>
          </c:dLbls>
          <c:cat>
            <c:strRef>
              <c:f>Лист1!$A$2:$A$13</c:f>
              <c:strCache>
                <c:ptCount val="12"/>
                <c:pt idx="0">
                  <c:v>Учасники війни</c:v>
                </c:pt>
                <c:pt idx="1">
                  <c:v>Діти війни</c:v>
                </c:pt>
                <c:pt idx="2">
                  <c:v>Осіб з інвалідністю внаслідок війни</c:v>
                </c:pt>
                <c:pt idx="3">
                  <c:v>Учасники бойових дій</c:v>
                </c:pt>
                <c:pt idx="4">
                  <c:v>Ветерани праці</c:v>
                </c:pt>
                <c:pt idx="5">
                  <c:v>осіб з інвалідністю І групи </c:v>
                </c:pt>
                <c:pt idx="6">
                  <c:v>осіб з інвалідністю ІІ групи </c:v>
                </c:pt>
                <c:pt idx="7">
                  <c:v>осіб з інвалідністю ІІІ групи</c:v>
                </c:pt>
                <c:pt idx="8">
                  <c:v>одиноких матерів </c:v>
                </c:pt>
                <c:pt idx="9">
                  <c:v>багатодітних сімей</c:v>
                </c:pt>
                <c:pt idx="10">
                  <c:v>учасників ліквідації наслідків аварії на ЧАЕС </c:v>
                </c:pt>
                <c:pt idx="11">
                  <c:v>інших категорій</c:v>
                </c:pt>
              </c:strCache>
            </c:strRef>
          </c:cat>
          <c:val>
            <c:numRef>
              <c:f>Лист1!$B$2:$B$13</c:f>
              <c:numCache>
                <c:formatCode>General</c:formatCode>
                <c:ptCount val="12"/>
                <c:pt idx="0">
                  <c:v>4</c:v>
                </c:pt>
                <c:pt idx="1">
                  <c:v>13</c:v>
                </c:pt>
                <c:pt idx="2">
                  <c:v>1</c:v>
                </c:pt>
                <c:pt idx="3">
                  <c:v>16</c:v>
                </c:pt>
                <c:pt idx="4">
                  <c:v>4</c:v>
                </c:pt>
                <c:pt idx="5">
                  <c:v>17</c:v>
                </c:pt>
                <c:pt idx="6">
                  <c:v>32</c:v>
                </c:pt>
                <c:pt idx="7">
                  <c:v>24</c:v>
                </c:pt>
                <c:pt idx="8">
                  <c:v>11</c:v>
                </c:pt>
                <c:pt idx="9">
                  <c:v>11</c:v>
                </c:pt>
                <c:pt idx="10">
                  <c:v>3</c:v>
                </c:pt>
                <c:pt idx="11">
                  <c:v>955</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6479758084096086"/>
          <c:y val="0.10020362396025874"/>
          <c:w val="0.33309623566966162"/>
          <c:h val="0.89894849922161635"/>
        </c:manualLayout>
      </c:layout>
      <c:overlay val="0"/>
      <c:txPr>
        <a:bodyPr/>
        <a:lstStyle/>
        <a:p>
          <a:pPr>
            <a:defRPr sz="900" b="1"/>
          </a:pPr>
          <a:endParaRPr lang="ru-RU"/>
        </a:p>
      </c:txPr>
    </c:legend>
    <c:plotVisOnly val="1"/>
    <c:dispBlanksAs val="zero"/>
    <c:showDLblsOverMax val="0"/>
  </c:chart>
  <c:spPr>
    <a:noFill/>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ru-RU" sz="1400"/>
              <a:t>Результати розгляду звернень за І півріччя 2021 року</a:t>
            </a:r>
          </a:p>
        </c:rich>
      </c:tx>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2.9380453903216013E-2"/>
          <c:y val="0.31614498314885647"/>
          <c:w val="0.55478750103623553"/>
          <c:h val="0.63658138506175788"/>
        </c:manualLayout>
      </c:layout>
      <c:pie3DChart>
        <c:varyColors val="1"/>
        <c:ser>
          <c:idx val="0"/>
          <c:order val="0"/>
          <c:tx>
            <c:strRef>
              <c:f>Лист1!$B$1</c:f>
              <c:strCache>
                <c:ptCount val="1"/>
                <c:pt idx="0">
                  <c:v>Продажи</c:v>
                </c:pt>
              </c:strCache>
            </c:strRef>
          </c:tx>
          <c:explosion val="25"/>
          <c:dLbls>
            <c:dLbl>
              <c:idx val="0"/>
              <c:layout>
                <c:manualLayout>
                  <c:x val="-0.10673840303974683"/>
                  <c:y val="3.6357730559707556E-2"/>
                </c:manualLayout>
              </c:layout>
              <c:showLegendKey val="0"/>
              <c:showVal val="1"/>
              <c:showCatName val="0"/>
              <c:showSerName val="0"/>
              <c:showPercent val="0"/>
              <c:showBubbleSize val="0"/>
            </c:dLbl>
            <c:dLbl>
              <c:idx val="2"/>
              <c:layout>
                <c:manualLayout>
                  <c:x val="-3.2281277340332475E-2"/>
                  <c:y val="-6.2690288713910788E-2"/>
                </c:manualLayout>
              </c:layout>
              <c:showLegendKey val="0"/>
              <c:showVal val="1"/>
              <c:showCatName val="0"/>
              <c:showSerName val="0"/>
              <c:showPercent val="0"/>
              <c:showBubbleSize val="0"/>
            </c:dLbl>
            <c:txPr>
              <a:bodyPr/>
              <a:lstStyle/>
              <a:p>
                <a:pPr>
                  <a:defRPr sz="1100" b="1"/>
                </a:pPr>
                <a:endParaRPr lang="ru-RU"/>
              </a:p>
            </c:txPr>
            <c:showLegendKey val="0"/>
            <c:showVal val="1"/>
            <c:showCatName val="0"/>
            <c:showSerName val="0"/>
            <c:showPercent val="0"/>
            <c:showBubbleSize val="0"/>
            <c:showLeaderLines val="1"/>
          </c:dLbls>
          <c:cat>
            <c:strRef>
              <c:f>Лист1!$A$2:$A$5</c:f>
              <c:strCache>
                <c:ptCount val="4"/>
                <c:pt idx="0">
                  <c:v>Позитивно вирішених звернень</c:v>
                </c:pt>
                <c:pt idx="1">
                  <c:v>Дано роз’яснення</c:v>
                </c:pt>
                <c:pt idx="2">
                  <c:v>Надіслано за належністю</c:v>
                </c:pt>
                <c:pt idx="3">
                  <c:v>Заходи вживаються</c:v>
                </c:pt>
              </c:strCache>
            </c:strRef>
          </c:cat>
          <c:val>
            <c:numRef>
              <c:f>Лист1!$B$2:$B$5</c:f>
              <c:numCache>
                <c:formatCode>General</c:formatCode>
                <c:ptCount val="4"/>
                <c:pt idx="0">
                  <c:v>539</c:v>
                </c:pt>
                <c:pt idx="1">
                  <c:v>426</c:v>
                </c:pt>
                <c:pt idx="2">
                  <c:v>2</c:v>
                </c:pt>
                <c:pt idx="3">
                  <c:v>124</c:v>
                </c:pt>
              </c:numCache>
            </c:numRef>
          </c:val>
        </c:ser>
        <c:dLbls>
          <c:showLegendKey val="0"/>
          <c:showVal val="0"/>
          <c:showCatName val="0"/>
          <c:showSerName val="0"/>
          <c:showPercent val="0"/>
          <c:showBubbleSize val="0"/>
          <c:showLeaderLines val="1"/>
        </c:dLbls>
      </c:pie3DChart>
    </c:plotArea>
    <c:legend>
      <c:legendPos val="r"/>
      <c:overlay val="0"/>
      <c:txPr>
        <a:bodyPr/>
        <a:lstStyle/>
        <a:p>
          <a:pPr>
            <a:defRPr b="1"/>
          </a:pPr>
          <a:endParaRPr lang="ru-RU"/>
        </a:p>
      </c:txPr>
    </c:legend>
    <c:plotVisOnly val="1"/>
    <c:dispBlanksAs val="zero"/>
    <c:showDLblsOverMax val="0"/>
  </c:chart>
  <c:spPr>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1862</Words>
  <Characters>10615</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Пошта0</dc:creator>
  <cp:lastModifiedBy>Inf</cp:lastModifiedBy>
  <cp:revision>3</cp:revision>
  <cp:lastPrinted>2021-07-02T05:35:00Z</cp:lastPrinted>
  <dcterms:created xsi:type="dcterms:W3CDTF">2021-08-03T07:21:00Z</dcterms:created>
  <dcterms:modified xsi:type="dcterms:W3CDTF">2021-08-03T12:36:00Z</dcterms:modified>
</cp:coreProperties>
</file>