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6" w:rsidRPr="00A81C1A" w:rsidRDefault="00D75926" w:rsidP="00D75926">
      <w:pPr>
        <w:pStyle w:val="a4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D75926" w:rsidRPr="00A81C1A" w:rsidRDefault="00D75926" w:rsidP="00D75926">
      <w:pPr>
        <w:pStyle w:val="a4"/>
      </w:pPr>
      <w:r w:rsidRPr="00A81C1A">
        <w:t>Кропивницького району Кіровоградської області</w:t>
      </w:r>
    </w:p>
    <w:p w:rsidR="00D75926" w:rsidRPr="00A81C1A" w:rsidRDefault="00D75926" w:rsidP="00D75926">
      <w:pPr>
        <w:pStyle w:val="a4"/>
      </w:pPr>
      <w:r w:rsidRPr="00A81C1A">
        <w:rPr>
          <w:lang w:val="en-US"/>
        </w:rPr>
        <w:t>VI</w:t>
      </w:r>
      <w:r>
        <w:rPr>
          <w:lang w:val="en-US"/>
        </w:rPr>
        <w:t>I</w:t>
      </w:r>
      <w:r w:rsidRPr="00A81C1A">
        <w:rPr>
          <w:lang w:val="ru-RU"/>
        </w:rPr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D75926" w:rsidRPr="00A81C1A" w:rsidRDefault="00D75926" w:rsidP="00D75926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A81C1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D75926" w:rsidRPr="00591746" w:rsidRDefault="00D75926" w:rsidP="00D75926">
      <w:pPr>
        <w:jc w:val="center"/>
        <w:rPr>
          <w:b/>
          <w:bCs/>
          <w:sz w:val="24"/>
          <w:szCs w:val="24"/>
          <w:lang w:val="uk-UA"/>
        </w:rPr>
      </w:pPr>
    </w:p>
    <w:p w:rsidR="00D75926" w:rsidRPr="00591746" w:rsidRDefault="00D75926" w:rsidP="00D75926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A81C1A">
        <w:rPr>
          <w:bCs/>
          <w:sz w:val="24"/>
          <w:szCs w:val="24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138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D75926" w:rsidRDefault="00D75926" w:rsidP="00D75926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м. </w:t>
      </w:r>
      <w:proofErr w:type="spellStart"/>
      <w:r w:rsidRPr="00591746">
        <w:rPr>
          <w:sz w:val="24"/>
          <w:szCs w:val="24"/>
          <w:lang w:val="uk-UA"/>
        </w:rPr>
        <w:t>Знам</w:t>
      </w:r>
      <w:proofErr w:type="spellEnd"/>
      <w:r w:rsidRPr="00591746">
        <w:rPr>
          <w:sz w:val="24"/>
          <w:szCs w:val="24"/>
        </w:rPr>
        <w:t>`</w:t>
      </w:r>
      <w:proofErr w:type="spellStart"/>
      <w:r w:rsidRPr="00591746">
        <w:rPr>
          <w:sz w:val="24"/>
          <w:szCs w:val="24"/>
          <w:lang w:val="uk-UA"/>
        </w:rPr>
        <w:t>янка</w:t>
      </w:r>
      <w:proofErr w:type="spellEnd"/>
    </w:p>
    <w:p w:rsidR="00D75926" w:rsidRPr="000A1AAE" w:rsidRDefault="00D75926" w:rsidP="00D75926">
      <w:pPr>
        <w:rPr>
          <w:bCs/>
          <w:sz w:val="24"/>
          <w:lang w:val="uk-UA"/>
        </w:rPr>
      </w:pPr>
      <w:r w:rsidRPr="000A1AAE">
        <w:rPr>
          <w:bCs/>
          <w:sz w:val="24"/>
          <w:lang w:val="uk-UA"/>
        </w:rPr>
        <w:t>Про затвердження програми</w:t>
      </w:r>
    </w:p>
    <w:p w:rsidR="00D75926" w:rsidRPr="000A1AAE" w:rsidRDefault="00D75926" w:rsidP="00D75926">
      <w:pPr>
        <w:rPr>
          <w:bCs/>
          <w:sz w:val="24"/>
          <w:lang w:val="uk-UA"/>
        </w:rPr>
      </w:pPr>
      <w:r w:rsidRPr="000A1AAE">
        <w:rPr>
          <w:bCs/>
          <w:sz w:val="24"/>
          <w:lang w:val="uk-UA"/>
        </w:rPr>
        <w:t xml:space="preserve">Громадського бюджету </w:t>
      </w:r>
      <w:proofErr w:type="spellStart"/>
      <w:r w:rsidRPr="000A1AAE">
        <w:rPr>
          <w:bCs/>
          <w:sz w:val="24"/>
          <w:lang w:val="uk-UA"/>
        </w:rPr>
        <w:t>Знам’янської</w:t>
      </w:r>
      <w:proofErr w:type="spellEnd"/>
    </w:p>
    <w:p w:rsidR="00D75926" w:rsidRPr="000A1AAE" w:rsidRDefault="00D75926" w:rsidP="00D75926">
      <w:pPr>
        <w:rPr>
          <w:bCs/>
          <w:sz w:val="24"/>
          <w:lang w:val="uk-UA"/>
        </w:rPr>
      </w:pPr>
      <w:r w:rsidRPr="000A1AAE">
        <w:rPr>
          <w:bCs/>
          <w:sz w:val="24"/>
          <w:lang w:val="uk-UA"/>
        </w:rPr>
        <w:t>міської територіальної</w:t>
      </w:r>
    </w:p>
    <w:p w:rsidR="00D75926" w:rsidRPr="000A1AAE" w:rsidRDefault="00D75926" w:rsidP="00D75926">
      <w:pPr>
        <w:rPr>
          <w:bCs/>
          <w:sz w:val="24"/>
          <w:lang w:val="uk-UA"/>
        </w:rPr>
      </w:pPr>
      <w:r w:rsidRPr="000A1AAE">
        <w:rPr>
          <w:bCs/>
          <w:sz w:val="24"/>
          <w:lang w:val="uk-UA"/>
        </w:rPr>
        <w:t>громади на 2021-2025 роки</w:t>
      </w:r>
    </w:p>
    <w:p w:rsidR="00D75926" w:rsidRPr="000A1AAE" w:rsidRDefault="00D75926" w:rsidP="00D75926">
      <w:pPr>
        <w:rPr>
          <w:b/>
          <w:sz w:val="24"/>
          <w:lang w:val="uk-UA"/>
        </w:rPr>
      </w:pPr>
      <w:r w:rsidRPr="000A1AAE">
        <w:rPr>
          <w:b/>
          <w:bCs/>
          <w:sz w:val="24"/>
          <w:lang w:val="uk-UA"/>
        </w:rPr>
        <w:t xml:space="preserve"> </w:t>
      </w:r>
    </w:p>
    <w:p w:rsidR="00D75926" w:rsidRPr="000A1AAE" w:rsidRDefault="00D75926" w:rsidP="00D75926">
      <w:pPr>
        <w:shd w:val="clear" w:color="auto" w:fill="FFFFFF"/>
        <w:ind w:firstLine="708"/>
        <w:jc w:val="both"/>
        <w:rPr>
          <w:sz w:val="24"/>
          <w:lang w:val="uk-UA"/>
        </w:rPr>
      </w:pPr>
      <w:proofErr w:type="spellStart"/>
      <w:r w:rsidRPr="000A1AAE">
        <w:rPr>
          <w:bCs/>
          <w:kern w:val="32"/>
          <w:sz w:val="24"/>
        </w:rPr>
        <w:t>Відповідно</w:t>
      </w:r>
      <w:proofErr w:type="spellEnd"/>
      <w:r w:rsidRPr="000A1AAE">
        <w:rPr>
          <w:bCs/>
          <w:kern w:val="32"/>
          <w:sz w:val="24"/>
        </w:rPr>
        <w:t xml:space="preserve"> </w:t>
      </w:r>
      <w:proofErr w:type="gramStart"/>
      <w:r w:rsidRPr="000A1AAE">
        <w:rPr>
          <w:bCs/>
          <w:kern w:val="32"/>
          <w:sz w:val="24"/>
        </w:rPr>
        <w:t>до</w:t>
      </w:r>
      <w:proofErr w:type="gramEnd"/>
      <w:r w:rsidRPr="000A1AAE">
        <w:rPr>
          <w:bCs/>
          <w:kern w:val="32"/>
          <w:sz w:val="24"/>
        </w:rPr>
        <w:t xml:space="preserve"> </w:t>
      </w:r>
      <w:proofErr w:type="gramStart"/>
      <w:r w:rsidRPr="000A1AAE">
        <w:rPr>
          <w:bCs/>
          <w:kern w:val="32"/>
          <w:sz w:val="24"/>
        </w:rPr>
        <w:t>пункту</w:t>
      </w:r>
      <w:proofErr w:type="gramEnd"/>
      <w:r w:rsidRPr="000A1AAE">
        <w:rPr>
          <w:bCs/>
          <w:kern w:val="32"/>
          <w:sz w:val="24"/>
        </w:rPr>
        <w:t xml:space="preserve"> 22 </w:t>
      </w:r>
      <w:proofErr w:type="spellStart"/>
      <w:r w:rsidRPr="000A1AAE">
        <w:rPr>
          <w:bCs/>
          <w:kern w:val="32"/>
          <w:sz w:val="24"/>
        </w:rPr>
        <w:t>статті</w:t>
      </w:r>
      <w:proofErr w:type="spellEnd"/>
      <w:r w:rsidRPr="000A1AAE">
        <w:rPr>
          <w:bCs/>
          <w:kern w:val="32"/>
          <w:sz w:val="24"/>
        </w:rPr>
        <w:t xml:space="preserve"> 26 Закону </w:t>
      </w:r>
      <w:proofErr w:type="spellStart"/>
      <w:r w:rsidRPr="000A1AAE">
        <w:rPr>
          <w:bCs/>
          <w:kern w:val="32"/>
          <w:sz w:val="24"/>
        </w:rPr>
        <w:t>України</w:t>
      </w:r>
      <w:proofErr w:type="spellEnd"/>
      <w:r w:rsidRPr="000A1AAE">
        <w:rPr>
          <w:bCs/>
          <w:kern w:val="32"/>
          <w:sz w:val="24"/>
        </w:rPr>
        <w:t xml:space="preserve"> «Про </w:t>
      </w:r>
      <w:proofErr w:type="spellStart"/>
      <w:r w:rsidRPr="000A1AAE">
        <w:rPr>
          <w:bCs/>
          <w:kern w:val="32"/>
          <w:sz w:val="24"/>
        </w:rPr>
        <w:t>місцеве</w:t>
      </w:r>
      <w:proofErr w:type="spellEnd"/>
      <w:r w:rsidRPr="000A1AAE">
        <w:rPr>
          <w:bCs/>
          <w:kern w:val="32"/>
          <w:sz w:val="24"/>
        </w:rPr>
        <w:t xml:space="preserve"> </w:t>
      </w:r>
      <w:proofErr w:type="spellStart"/>
      <w:r w:rsidRPr="000A1AAE">
        <w:rPr>
          <w:bCs/>
          <w:kern w:val="32"/>
          <w:sz w:val="24"/>
        </w:rPr>
        <w:t>самоврядування</w:t>
      </w:r>
      <w:proofErr w:type="spellEnd"/>
      <w:r w:rsidRPr="000A1AAE">
        <w:rPr>
          <w:bCs/>
          <w:kern w:val="32"/>
          <w:sz w:val="24"/>
        </w:rPr>
        <w:t xml:space="preserve"> в </w:t>
      </w:r>
      <w:proofErr w:type="spellStart"/>
      <w:r w:rsidRPr="000A1AAE">
        <w:rPr>
          <w:bCs/>
          <w:kern w:val="32"/>
          <w:sz w:val="24"/>
        </w:rPr>
        <w:t>Україні</w:t>
      </w:r>
      <w:proofErr w:type="spellEnd"/>
      <w:r w:rsidRPr="000A1AAE">
        <w:rPr>
          <w:bCs/>
          <w:kern w:val="32"/>
          <w:sz w:val="24"/>
        </w:rPr>
        <w:t>»</w:t>
      </w:r>
      <w:r w:rsidRPr="000A1AAE">
        <w:rPr>
          <w:bCs/>
          <w:kern w:val="32"/>
          <w:sz w:val="24"/>
          <w:lang w:val="uk-UA"/>
        </w:rPr>
        <w:t xml:space="preserve">, </w:t>
      </w:r>
      <w:proofErr w:type="spellStart"/>
      <w:r w:rsidRPr="000A1AAE">
        <w:rPr>
          <w:bCs/>
          <w:kern w:val="32"/>
          <w:sz w:val="24"/>
          <w:lang w:val="uk-UA"/>
        </w:rPr>
        <w:t>Знам’янська</w:t>
      </w:r>
      <w:proofErr w:type="spellEnd"/>
      <w:r w:rsidRPr="000A1AAE">
        <w:rPr>
          <w:bCs/>
          <w:kern w:val="32"/>
          <w:sz w:val="24"/>
          <w:lang w:val="uk-UA"/>
        </w:rPr>
        <w:t xml:space="preserve"> </w:t>
      </w:r>
      <w:proofErr w:type="spellStart"/>
      <w:r w:rsidRPr="000A1AAE">
        <w:rPr>
          <w:sz w:val="24"/>
        </w:rPr>
        <w:t>міська</w:t>
      </w:r>
      <w:proofErr w:type="spellEnd"/>
      <w:r w:rsidRPr="000A1AAE">
        <w:rPr>
          <w:sz w:val="24"/>
        </w:rPr>
        <w:t xml:space="preserve"> рада</w:t>
      </w:r>
    </w:p>
    <w:p w:rsidR="00D75926" w:rsidRPr="000A1AAE" w:rsidRDefault="00D75926" w:rsidP="00D75926">
      <w:pPr>
        <w:shd w:val="clear" w:color="auto" w:fill="FFFFFF"/>
        <w:ind w:firstLine="708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В и р і ш и л а:</w:t>
      </w:r>
    </w:p>
    <w:p w:rsidR="00D75926" w:rsidRPr="000A1AAE" w:rsidRDefault="00D75926" w:rsidP="00D75926">
      <w:pPr>
        <w:shd w:val="clear" w:color="auto" w:fill="FFFFFF"/>
        <w:ind w:firstLine="708"/>
        <w:jc w:val="both"/>
        <w:rPr>
          <w:sz w:val="24"/>
          <w:lang w:val="uk-UA"/>
        </w:rPr>
      </w:pPr>
    </w:p>
    <w:p w:rsidR="00D75926" w:rsidRPr="000A1AAE" w:rsidRDefault="00D75926" w:rsidP="00D75926">
      <w:pPr>
        <w:shd w:val="clear" w:color="auto" w:fill="FFFFFF"/>
        <w:jc w:val="both"/>
        <w:rPr>
          <w:sz w:val="24"/>
          <w:lang w:val="uk-UA"/>
        </w:rPr>
      </w:pPr>
      <w:r w:rsidRPr="000A1AAE">
        <w:rPr>
          <w:sz w:val="24"/>
          <w:lang w:val="uk-UA"/>
        </w:rPr>
        <w:t xml:space="preserve">1. Затвердити програму  Громадського бюджету  </w:t>
      </w:r>
      <w:proofErr w:type="spellStart"/>
      <w:r w:rsidRPr="000A1AAE">
        <w:rPr>
          <w:sz w:val="24"/>
          <w:lang w:val="uk-UA"/>
        </w:rPr>
        <w:t>Знам’янської</w:t>
      </w:r>
      <w:proofErr w:type="spellEnd"/>
      <w:r w:rsidRPr="000A1AAE">
        <w:rPr>
          <w:sz w:val="24"/>
          <w:lang w:val="uk-UA"/>
        </w:rPr>
        <w:t xml:space="preserve"> міської  територіальної громади (далі Програма) на 2021-2025 роки (додається).</w:t>
      </w:r>
    </w:p>
    <w:p w:rsidR="00D75926" w:rsidRPr="000A1AAE" w:rsidRDefault="00D75926" w:rsidP="00D75926">
      <w:pPr>
        <w:shd w:val="clear" w:color="auto" w:fill="FFFFFF"/>
        <w:jc w:val="both"/>
        <w:rPr>
          <w:sz w:val="24"/>
        </w:rPr>
      </w:pPr>
      <w:r w:rsidRPr="000A1AAE">
        <w:rPr>
          <w:sz w:val="24"/>
        </w:rPr>
        <w:t xml:space="preserve">2. Контроль за </w:t>
      </w:r>
      <w:proofErr w:type="spellStart"/>
      <w:r w:rsidRPr="000A1AAE">
        <w:rPr>
          <w:sz w:val="24"/>
        </w:rPr>
        <w:t>виконання</w:t>
      </w:r>
      <w:proofErr w:type="spellEnd"/>
      <w:r w:rsidRPr="000A1AAE">
        <w:rPr>
          <w:sz w:val="24"/>
          <w:lang w:val="uk-UA"/>
        </w:rPr>
        <w:t xml:space="preserve">м </w:t>
      </w:r>
      <w:r w:rsidRPr="000A1AAE">
        <w:rPr>
          <w:sz w:val="24"/>
        </w:rPr>
        <w:t xml:space="preserve"> </w:t>
      </w:r>
      <w:proofErr w:type="spellStart"/>
      <w:proofErr w:type="gramStart"/>
      <w:r w:rsidRPr="000A1AAE">
        <w:rPr>
          <w:sz w:val="24"/>
        </w:rPr>
        <w:t>р</w:t>
      </w:r>
      <w:proofErr w:type="gramEnd"/>
      <w:r w:rsidRPr="000A1AAE">
        <w:rPr>
          <w:sz w:val="24"/>
        </w:rPr>
        <w:t>ішення</w:t>
      </w:r>
      <w:proofErr w:type="spellEnd"/>
      <w:r w:rsidRPr="000A1AAE">
        <w:rPr>
          <w:sz w:val="24"/>
        </w:rPr>
        <w:t xml:space="preserve"> </w:t>
      </w:r>
      <w:proofErr w:type="spellStart"/>
      <w:r w:rsidRPr="000A1AAE">
        <w:rPr>
          <w:sz w:val="24"/>
        </w:rPr>
        <w:t>покласти</w:t>
      </w:r>
      <w:proofErr w:type="spellEnd"/>
      <w:r w:rsidRPr="000A1AAE">
        <w:rPr>
          <w:sz w:val="24"/>
        </w:rPr>
        <w:t xml:space="preserve"> на </w:t>
      </w:r>
      <w:r w:rsidRPr="000A1AAE">
        <w:rPr>
          <w:sz w:val="24"/>
          <w:lang w:val="uk-UA"/>
        </w:rPr>
        <w:t>п</w:t>
      </w:r>
      <w:r w:rsidRPr="000A1AAE">
        <w:rPr>
          <w:rFonts w:eastAsia="Calibri"/>
          <w:sz w:val="24"/>
          <w:lang w:val="uk-UA"/>
        </w:rPr>
        <w:t>остійну комісію з питань</w:t>
      </w:r>
      <w:r w:rsidRPr="000A1AAE">
        <w:rPr>
          <w:rFonts w:eastAsia="Calibri"/>
          <w:i/>
          <w:iCs/>
          <w:sz w:val="36"/>
          <w:szCs w:val="28"/>
          <w:lang w:val="uk-UA"/>
        </w:rPr>
        <w:t xml:space="preserve"> </w:t>
      </w:r>
      <w:r w:rsidRPr="000A1AAE">
        <w:rPr>
          <w:rFonts w:eastAsia="Calibri"/>
          <w:sz w:val="24"/>
          <w:lang w:val="uk-UA"/>
        </w:rPr>
        <w:t>бюджету, економічного розвитку, споживчого ринку та підприємництва</w:t>
      </w:r>
      <w:r w:rsidRPr="000A1AAE">
        <w:rPr>
          <w:sz w:val="24"/>
        </w:rPr>
        <w:t xml:space="preserve"> (гол. </w:t>
      </w:r>
      <w:r w:rsidRPr="000A1AAE">
        <w:rPr>
          <w:sz w:val="24"/>
          <w:lang w:val="uk-UA"/>
        </w:rPr>
        <w:t>Неля ДАНАСІЄНКО</w:t>
      </w:r>
      <w:r w:rsidRPr="000A1AAE">
        <w:rPr>
          <w:sz w:val="24"/>
        </w:rPr>
        <w:t>).</w:t>
      </w:r>
    </w:p>
    <w:p w:rsidR="00D75926" w:rsidRPr="000A1AAE" w:rsidRDefault="00D75926" w:rsidP="00D75926">
      <w:pPr>
        <w:shd w:val="clear" w:color="auto" w:fill="FFFFFF"/>
        <w:jc w:val="both"/>
        <w:rPr>
          <w:sz w:val="24"/>
        </w:rPr>
      </w:pPr>
      <w:r w:rsidRPr="000A1AAE">
        <w:rPr>
          <w:sz w:val="24"/>
        </w:rPr>
        <w:br/>
      </w:r>
    </w:p>
    <w:p w:rsidR="00D75926" w:rsidRPr="000A1AAE" w:rsidRDefault="00D75926" w:rsidP="00D75926">
      <w:pPr>
        <w:shd w:val="clear" w:color="auto" w:fill="FFFFFF"/>
        <w:jc w:val="both"/>
        <w:rPr>
          <w:sz w:val="24"/>
          <w:lang w:val="uk-UA" w:eastAsia="uk-UA"/>
        </w:rPr>
      </w:pPr>
      <w:r w:rsidRPr="000A1AAE">
        <w:rPr>
          <w:sz w:val="24"/>
        </w:rPr>
        <w:br/>
      </w:r>
      <w:proofErr w:type="spellStart"/>
      <w:r w:rsidRPr="000A1AAE">
        <w:rPr>
          <w:b/>
          <w:sz w:val="24"/>
          <w:lang w:val="uk-UA"/>
        </w:rPr>
        <w:t>Знам’янський</w:t>
      </w:r>
      <w:proofErr w:type="spellEnd"/>
      <w:r w:rsidRPr="000A1AAE">
        <w:rPr>
          <w:b/>
          <w:sz w:val="24"/>
          <w:lang w:val="uk-UA"/>
        </w:rPr>
        <w:t xml:space="preserve"> міський голова                                                           Володимир СОКИРКО</w:t>
      </w:r>
    </w:p>
    <w:p w:rsidR="00D75926" w:rsidRPr="000A1AAE" w:rsidRDefault="00D75926" w:rsidP="00D75926">
      <w:pPr>
        <w:shd w:val="clear" w:color="auto" w:fill="FFFFFF"/>
        <w:tabs>
          <w:tab w:val="left" w:pos="6165"/>
        </w:tabs>
        <w:ind w:right="57"/>
        <w:rPr>
          <w:b/>
          <w:sz w:val="24"/>
        </w:rPr>
      </w:pPr>
      <w:r w:rsidRPr="000A1AAE">
        <w:rPr>
          <w:b/>
          <w:sz w:val="24"/>
        </w:rPr>
        <w:tab/>
      </w:r>
    </w:p>
    <w:p w:rsidR="00D75926" w:rsidRPr="000A1AAE" w:rsidRDefault="00D75926" w:rsidP="00D75926">
      <w:pPr>
        <w:shd w:val="clear" w:color="auto" w:fill="FFFFFF"/>
        <w:ind w:right="57"/>
        <w:rPr>
          <w:color w:val="000000"/>
          <w:spacing w:val="7"/>
          <w:sz w:val="24"/>
        </w:rPr>
      </w:pPr>
    </w:p>
    <w:p w:rsidR="00D75926" w:rsidRPr="00244B37" w:rsidRDefault="00D75926" w:rsidP="00D75926">
      <w:pPr>
        <w:ind w:left="6372"/>
        <w:rPr>
          <w:sz w:val="22"/>
          <w:lang w:val="uk-UA"/>
        </w:rPr>
      </w:pPr>
      <w:r>
        <w:rPr>
          <w:sz w:val="24"/>
          <w:szCs w:val="22"/>
          <w:lang w:val="uk-UA"/>
        </w:rPr>
        <w:t xml:space="preserve">      Затверджено</w:t>
      </w:r>
    </w:p>
    <w:p w:rsidR="00D75926" w:rsidRPr="001C71C2" w:rsidRDefault="00D75926" w:rsidP="00D75926">
      <w:pPr>
        <w:ind w:left="5664"/>
        <w:rPr>
          <w:sz w:val="22"/>
          <w:lang w:val="uk-UA"/>
        </w:rPr>
      </w:pPr>
      <w:r>
        <w:rPr>
          <w:sz w:val="22"/>
          <w:lang w:val="uk-UA"/>
        </w:rPr>
        <w:t xml:space="preserve">рішенням </w:t>
      </w:r>
      <w:proofErr w:type="spellStart"/>
      <w:r>
        <w:rPr>
          <w:sz w:val="22"/>
          <w:lang w:val="uk-UA"/>
        </w:rPr>
        <w:t>Знам’янської</w:t>
      </w:r>
      <w:proofErr w:type="spellEnd"/>
      <w:r>
        <w:rPr>
          <w:sz w:val="22"/>
          <w:lang w:val="uk-UA"/>
        </w:rPr>
        <w:t xml:space="preserve"> </w:t>
      </w:r>
      <w:r w:rsidRPr="001C71C2">
        <w:rPr>
          <w:sz w:val="22"/>
          <w:lang w:val="uk-UA"/>
        </w:rPr>
        <w:t xml:space="preserve"> міської ради</w:t>
      </w:r>
    </w:p>
    <w:p w:rsidR="00D75926" w:rsidRPr="001C71C2" w:rsidRDefault="00D75926" w:rsidP="00D75926">
      <w:pPr>
        <w:ind w:left="5664" w:firstLine="708"/>
        <w:rPr>
          <w:sz w:val="22"/>
          <w:lang w:val="uk-UA"/>
        </w:rPr>
      </w:pPr>
      <w:r>
        <w:rPr>
          <w:sz w:val="22"/>
          <w:lang w:val="uk-UA"/>
        </w:rPr>
        <w:t>від 19.02.</w:t>
      </w:r>
      <w:r w:rsidRPr="001C71C2">
        <w:rPr>
          <w:sz w:val="22"/>
          <w:lang w:val="uk-UA"/>
        </w:rPr>
        <w:t xml:space="preserve"> 2021р.</w:t>
      </w:r>
      <w:r>
        <w:rPr>
          <w:sz w:val="22"/>
          <w:lang w:val="uk-UA"/>
        </w:rPr>
        <w:t xml:space="preserve"> №138</w:t>
      </w:r>
      <w:r w:rsidRPr="001C71C2">
        <w:rPr>
          <w:sz w:val="22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D75926" w:rsidRPr="007C0BC1" w:rsidRDefault="00D75926" w:rsidP="00D75926">
      <w:pPr>
        <w:rPr>
          <w:lang w:val="uk-UA"/>
        </w:rPr>
      </w:pPr>
    </w:p>
    <w:p w:rsidR="00D75926" w:rsidRDefault="00D75926" w:rsidP="00D75926">
      <w:pPr>
        <w:jc w:val="center"/>
        <w:rPr>
          <w:b/>
          <w:lang w:val="uk-UA"/>
        </w:rPr>
      </w:pPr>
    </w:p>
    <w:p w:rsidR="00D75926" w:rsidRPr="001C71C2" w:rsidRDefault="00D75926" w:rsidP="00D75926">
      <w:pPr>
        <w:jc w:val="center"/>
        <w:rPr>
          <w:b/>
          <w:sz w:val="24"/>
          <w:szCs w:val="32"/>
          <w:lang w:val="uk-UA"/>
        </w:rPr>
      </w:pPr>
      <w:r w:rsidRPr="001C71C2">
        <w:rPr>
          <w:b/>
          <w:sz w:val="24"/>
          <w:szCs w:val="32"/>
          <w:lang w:val="uk-UA"/>
        </w:rPr>
        <w:t>ПРОГРАМА</w:t>
      </w:r>
    </w:p>
    <w:p w:rsidR="00D75926" w:rsidRPr="001C71C2" w:rsidRDefault="00D75926" w:rsidP="00D75926">
      <w:pPr>
        <w:jc w:val="center"/>
        <w:rPr>
          <w:b/>
          <w:bCs/>
          <w:sz w:val="24"/>
          <w:szCs w:val="32"/>
          <w:lang w:val="uk-UA"/>
        </w:rPr>
      </w:pPr>
      <w:r>
        <w:rPr>
          <w:b/>
          <w:sz w:val="24"/>
          <w:szCs w:val="32"/>
          <w:lang w:val="uk-UA"/>
        </w:rPr>
        <w:t>Г</w:t>
      </w:r>
      <w:r w:rsidRPr="001C71C2">
        <w:rPr>
          <w:b/>
          <w:sz w:val="24"/>
          <w:szCs w:val="32"/>
          <w:lang w:val="uk-UA"/>
        </w:rPr>
        <w:t xml:space="preserve">ромадського бюджету </w:t>
      </w:r>
      <w:proofErr w:type="spellStart"/>
      <w:r w:rsidRPr="001C71C2">
        <w:rPr>
          <w:b/>
          <w:bCs/>
          <w:sz w:val="24"/>
          <w:szCs w:val="32"/>
          <w:lang w:val="uk-UA"/>
        </w:rPr>
        <w:t>Знам’янської</w:t>
      </w:r>
      <w:proofErr w:type="spellEnd"/>
      <w:r w:rsidRPr="001C71C2">
        <w:rPr>
          <w:b/>
          <w:bCs/>
          <w:sz w:val="24"/>
          <w:szCs w:val="32"/>
          <w:lang w:val="uk-UA"/>
        </w:rPr>
        <w:t xml:space="preserve"> міської</w:t>
      </w:r>
    </w:p>
    <w:p w:rsidR="00D75926" w:rsidRPr="001C71C2" w:rsidRDefault="00D75926" w:rsidP="00D75926">
      <w:pPr>
        <w:jc w:val="center"/>
        <w:rPr>
          <w:b/>
          <w:bCs/>
          <w:sz w:val="24"/>
          <w:szCs w:val="32"/>
          <w:lang w:val="uk-UA"/>
        </w:rPr>
      </w:pPr>
      <w:r w:rsidRPr="001C71C2">
        <w:rPr>
          <w:b/>
          <w:bCs/>
          <w:sz w:val="24"/>
          <w:szCs w:val="32"/>
          <w:lang w:val="uk-UA"/>
        </w:rPr>
        <w:t>територіальної громади  на 2021-2025 роки</w:t>
      </w:r>
    </w:p>
    <w:p w:rsidR="00D75926" w:rsidRPr="001C71C2" w:rsidRDefault="00D75926" w:rsidP="00D75926">
      <w:pPr>
        <w:jc w:val="center"/>
        <w:rPr>
          <w:b/>
          <w:bCs/>
          <w:sz w:val="16"/>
          <w:lang w:val="uk-UA"/>
        </w:rPr>
      </w:pPr>
    </w:p>
    <w:p w:rsidR="00D75926" w:rsidRPr="001C71C2" w:rsidRDefault="00D75926" w:rsidP="00D75926">
      <w:pPr>
        <w:rPr>
          <w:b/>
          <w:sz w:val="24"/>
          <w:lang w:val="uk-UA"/>
        </w:rPr>
      </w:pPr>
    </w:p>
    <w:p w:rsidR="00D75926" w:rsidRPr="001C71C2" w:rsidRDefault="00D75926" w:rsidP="00D75926">
      <w:pPr>
        <w:numPr>
          <w:ilvl w:val="0"/>
          <w:numId w:val="1"/>
        </w:numPr>
        <w:jc w:val="center"/>
        <w:rPr>
          <w:b/>
          <w:sz w:val="24"/>
          <w:lang w:val="uk-UA"/>
        </w:rPr>
      </w:pPr>
      <w:r w:rsidRPr="001C71C2">
        <w:rPr>
          <w:b/>
          <w:sz w:val="24"/>
          <w:lang w:val="uk-UA"/>
        </w:rPr>
        <w:t>Паспорт Програми</w:t>
      </w:r>
    </w:p>
    <w:p w:rsidR="00D75926" w:rsidRPr="001C71C2" w:rsidRDefault="00D75926" w:rsidP="00D75926">
      <w:pPr>
        <w:rPr>
          <w:sz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5926" w:rsidRPr="000109E5" w:rsidTr="006A67F3">
        <w:tc>
          <w:tcPr>
            <w:tcW w:w="478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proofErr w:type="spellStart"/>
            <w:r w:rsidRPr="001C71C2">
              <w:rPr>
                <w:sz w:val="24"/>
              </w:rPr>
              <w:t>Програма</w:t>
            </w:r>
            <w:proofErr w:type="spellEnd"/>
            <w:r w:rsidRPr="001C71C2">
              <w:rPr>
                <w:sz w:val="24"/>
              </w:rPr>
              <w:t xml:space="preserve"> </w:t>
            </w:r>
            <w:proofErr w:type="spellStart"/>
            <w:r w:rsidRPr="001C71C2">
              <w:rPr>
                <w:sz w:val="24"/>
              </w:rPr>
              <w:t>погоджена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proofErr w:type="spellStart"/>
            <w:r w:rsidRPr="001C71C2">
              <w:rPr>
                <w:sz w:val="24"/>
              </w:rPr>
              <w:t>Розробник</w:t>
            </w:r>
            <w:proofErr w:type="spellEnd"/>
            <w:r w:rsidRPr="001C71C2">
              <w:rPr>
                <w:sz w:val="24"/>
              </w:rPr>
              <w:t xml:space="preserve"> </w:t>
            </w:r>
            <w:proofErr w:type="spellStart"/>
            <w:r w:rsidRPr="001C71C2">
              <w:rPr>
                <w:sz w:val="24"/>
              </w:rPr>
              <w:t>Програми</w:t>
            </w:r>
            <w:proofErr w:type="spellEnd"/>
          </w:p>
        </w:tc>
        <w:tc>
          <w:tcPr>
            <w:tcW w:w="4786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r w:rsidRPr="001C71C2">
              <w:rPr>
                <w:sz w:val="24"/>
                <w:lang w:val="uk-UA"/>
              </w:rPr>
              <w:t xml:space="preserve">Рішенням міської ради від </w:t>
            </w:r>
            <w:r>
              <w:rPr>
                <w:sz w:val="24"/>
                <w:lang w:val="uk-UA"/>
              </w:rPr>
              <w:t>19.02.2021 р.</w:t>
            </w:r>
            <w:r w:rsidRPr="001C71C2">
              <w:rPr>
                <w:sz w:val="24"/>
                <w:lang w:val="uk-UA"/>
              </w:rPr>
              <w:t xml:space="preserve"> №</w:t>
            </w:r>
            <w:r>
              <w:rPr>
                <w:sz w:val="24"/>
                <w:lang w:val="uk-UA"/>
              </w:rPr>
              <w:t>138</w:t>
            </w:r>
            <w:r w:rsidRPr="001C71C2">
              <w:rPr>
                <w:sz w:val="24"/>
                <w:lang w:val="uk-UA"/>
              </w:rPr>
              <w:t xml:space="preserve"> </w:t>
            </w: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r w:rsidRPr="001C71C2">
              <w:rPr>
                <w:sz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D75926" w:rsidRPr="001C71C2" w:rsidTr="006A67F3">
        <w:tc>
          <w:tcPr>
            <w:tcW w:w="478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r w:rsidRPr="00731985">
              <w:rPr>
                <w:sz w:val="24"/>
                <w:lang w:val="uk-UA"/>
              </w:rPr>
              <w:t>Учасники Програми</w:t>
            </w: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r w:rsidRPr="00731985">
              <w:rPr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786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r w:rsidRPr="001C71C2">
              <w:rPr>
                <w:sz w:val="24"/>
                <w:lang w:val="uk-UA"/>
              </w:rPr>
              <w:t xml:space="preserve">Громадськість </w:t>
            </w:r>
            <w:proofErr w:type="spellStart"/>
            <w:r w:rsidRPr="001C71C2">
              <w:rPr>
                <w:sz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4"/>
                <w:lang w:val="uk-UA"/>
              </w:rPr>
              <w:t xml:space="preserve"> міської територіальної громади, виконавчі органи </w:t>
            </w:r>
            <w:proofErr w:type="spellStart"/>
            <w:r w:rsidRPr="001C71C2">
              <w:rPr>
                <w:sz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4"/>
                <w:lang w:val="uk-UA"/>
              </w:rPr>
              <w:t xml:space="preserve"> міської ради, підприємства, організації та установи громади</w:t>
            </w: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2021</w:t>
            </w:r>
            <w:r w:rsidRPr="001C71C2">
              <w:rPr>
                <w:sz w:val="24"/>
                <w:lang w:val="uk-UA"/>
              </w:rPr>
              <w:t>-2025 роки</w:t>
            </w:r>
          </w:p>
        </w:tc>
      </w:tr>
      <w:tr w:rsidR="00D75926" w:rsidRPr="000109E5" w:rsidTr="006A67F3">
        <w:tc>
          <w:tcPr>
            <w:tcW w:w="478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proofErr w:type="spellStart"/>
            <w:r w:rsidRPr="001C71C2">
              <w:rPr>
                <w:sz w:val="24"/>
              </w:rPr>
              <w:t>Загальний</w:t>
            </w:r>
            <w:proofErr w:type="spellEnd"/>
            <w:r w:rsidRPr="001C71C2">
              <w:rPr>
                <w:sz w:val="24"/>
              </w:rPr>
              <w:t xml:space="preserve"> </w:t>
            </w:r>
            <w:proofErr w:type="spellStart"/>
            <w:r w:rsidRPr="001C71C2">
              <w:rPr>
                <w:sz w:val="24"/>
              </w:rPr>
              <w:t>обсяг</w:t>
            </w:r>
            <w:proofErr w:type="spellEnd"/>
            <w:r w:rsidRPr="001C71C2">
              <w:rPr>
                <w:sz w:val="24"/>
              </w:rPr>
              <w:t xml:space="preserve"> </w:t>
            </w:r>
            <w:proofErr w:type="spellStart"/>
            <w:r w:rsidRPr="001C71C2">
              <w:rPr>
                <w:sz w:val="24"/>
              </w:rPr>
              <w:t>фінансових</w:t>
            </w:r>
            <w:proofErr w:type="spellEnd"/>
            <w:r w:rsidRPr="001C71C2">
              <w:rPr>
                <w:sz w:val="24"/>
              </w:rPr>
              <w:t xml:space="preserve"> </w:t>
            </w:r>
            <w:proofErr w:type="spellStart"/>
            <w:r w:rsidRPr="001C71C2">
              <w:rPr>
                <w:sz w:val="24"/>
              </w:rPr>
              <w:t>ресурсів</w:t>
            </w:r>
            <w:proofErr w:type="spellEnd"/>
            <w:r w:rsidRPr="001C71C2">
              <w:rPr>
                <w:sz w:val="24"/>
              </w:rPr>
              <w:t xml:space="preserve">, </w:t>
            </w:r>
            <w:proofErr w:type="spellStart"/>
            <w:r w:rsidRPr="001C71C2">
              <w:rPr>
                <w:sz w:val="24"/>
              </w:rPr>
              <w:t>необхідних</w:t>
            </w:r>
            <w:proofErr w:type="spellEnd"/>
            <w:r w:rsidRPr="001C71C2">
              <w:rPr>
                <w:sz w:val="24"/>
              </w:rPr>
              <w:t xml:space="preserve"> </w:t>
            </w:r>
            <w:proofErr w:type="gramStart"/>
            <w:r w:rsidRPr="001C71C2">
              <w:rPr>
                <w:sz w:val="24"/>
              </w:rPr>
              <w:t>для</w:t>
            </w:r>
            <w:proofErr w:type="gramEnd"/>
            <w:r w:rsidRPr="001C71C2">
              <w:rPr>
                <w:sz w:val="24"/>
              </w:rPr>
              <w:t xml:space="preserve"> </w:t>
            </w:r>
            <w:proofErr w:type="spellStart"/>
            <w:r w:rsidRPr="001C71C2">
              <w:rPr>
                <w:sz w:val="24"/>
              </w:rPr>
              <w:t>реалізації</w:t>
            </w:r>
            <w:proofErr w:type="spellEnd"/>
            <w:r w:rsidRPr="001C71C2">
              <w:rPr>
                <w:sz w:val="24"/>
              </w:rPr>
              <w:t xml:space="preserve"> </w:t>
            </w:r>
            <w:proofErr w:type="spellStart"/>
            <w:r w:rsidRPr="001C71C2">
              <w:rPr>
                <w:sz w:val="24"/>
              </w:rPr>
              <w:t>Програми</w:t>
            </w:r>
            <w:proofErr w:type="spellEnd"/>
          </w:p>
        </w:tc>
        <w:tc>
          <w:tcPr>
            <w:tcW w:w="4786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4"/>
                <w:lang w:val="uk-UA"/>
              </w:rPr>
            </w:pPr>
            <w:r w:rsidRPr="001C71C2">
              <w:rPr>
                <w:sz w:val="24"/>
                <w:lang w:val="uk-UA"/>
              </w:rPr>
              <w:t xml:space="preserve">Щороку, загальний обсяг громадського бюджету на відповідний бюджетний рік становить у сумі </w:t>
            </w:r>
            <w:r>
              <w:rPr>
                <w:sz w:val="24"/>
                <w:lang w:val="uk-UA"/>
              </w:rPr>
              <w:t>від 0,3% до 0,5%</w:t>
            </w:r>
            <w:r w:rsidRPr="001C71C2">
              <w:rPr>
                <w:sz w:val="24"/>
                <w:lang w:val="uk-UA"/>
              </w:rPr>
              <w:t xml:space="preserve"> </w:t>
            </w:r>
            <w:r w:rsidRPr="001C71C2">
              <w:rPr>
                <w:sz w:val="24"/>
                <w:lang w:val="uk-UA"/>
              </w:rPr>
              <w:lastRenderedPageBreak/>
              <w:t xml:space="preserve">затвердженого обсягу доходів загального фонду бюджету </w:t>
            </w:r>
            <w:proofErr w:type="spellStart"/>
            <w:r w:rsidRPr="001C71C2">
              <w:rPr>
                <w:sz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4"/>
                <w:lang w:val="uk-UA"/>
              </w:rPr>
              <w:t xml:space="preserve"> міської територіальної громади без урахування міжбюджетних трансфертів </w:t>
            </w:r>
            <w:r w:rsidRPr="001C71C2">
              <w:rPr>
                <w:bCs/>
                <w:sz w:val="24"/>
                <w:lang w:val="uk-UA"/>
              </w:rPr>
              <w:t xml:space="preserve">на поточний бюджетний </w:t>
            </w:r>
            <w:r>
              <w:rPr>
                <w:bCs/>
                <w:sz w:val="24"/>
                <w:lang w:val="uk-UA"/>
              </w:rPr>
              <w:t>період</w:t>
            </w:r>
          </w:p>
        </w:tc>
      </w:tr>
    </w:tbl>
    <w:p w:rsidR="00D75926" w:rsidRDefault="00D75926" w:rsidP="00D75926">
      <w:pPr>
        <w:rPr>
          <w:lang w:val="uk-UA"/>
        </w:rPr>
      </w:pPr>
    </w:p>
    <w:p w:rsidR="00D75926" w:rsidRPr="001C71C2" w:rsidRDefault="00D75926" w:rsidP="00D75926">
      <w:pPr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 w:rsidRPr="001C71C2">
        <w:rPr>
          <w:b/>
          <w:sz w:val="24"/>
          <w:szCs w:val="24"/>
          <w:lang w:val="uk-UA"/>
        </w:rPr>
        <w:t xml:space="preserve">Визначення проблеми, на </w:t>
      </w:r>
      <w:proofErr w:type="spellStart"/>
      <w:r w:rsidRPr="001C71C2">
        <w:rPr>
          <w:b/>
          <w:sz w:val="24"/>
          <w:szCs w:val="24"/>
          <w:lang w:val="uk-UA"/>
        </w:rPr>
        <w:t>розв</w:t>
      </w:r>
      <w:proofErr w:type="spellEnd"/>
      <w:r w:rsidRPr="001C71C2">
        <w:rPr>
          <w:b/>
          <w:sz w:val="24"/>
          <w:szCs w:val="24"/>
        </w:rPr>
        <w:t>’</w:t>
      </w:r>
      <w:proofErr w:type="spellStart"/>
      <w:r w:rsidRPr="001C71C2">
        <w:rPr>
          <w:b/>
          <w:sz w:val="24"/>
          <w:szCs w:val="24"/>
          <w:lang w:val="uk-UA"/>
        </w:rPr>
        <w:t>язання</w:t>
      </w:r>
      <w:proofErr w:type="spellEnd"/>
      <w:r w:rsidRPr="001C71C2">
        <w:rPr>
          <w:b/>
          <w:sz w:val="24"/>
          <w:szCs w:val="24"/>
          <w:lang w:val="uk-UA"/>
        </w:rPr>
        <w:t xml:space="preserve"> якої спрямована Програма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За роки незалежності України місцеве самоврядування стало могутнім рушієм економічних та соціальних перетворень, проте проголошений у Конституції та Законах України принцип самостійності територіальних громад на практиці реалізується дуже повільно. Позбавлення громади ініціативи, активності та відповідальності щодо соціально-економічного розвитку своїх територій призводить до втрати взаємозв’язку між громадою та владою. Для подолання такої пасивності необхідно навчити населення міста технологіям </w:t>
      </w:r>
      <w:proofErr w:type="spellStart"/>
      <w:r w:rsidRPr="001C71C2">
        <w:rPr>
          <w:sz w:val="24"/>
          <w:szCs w:val="24"/>
          <w:lang w:val="uk-UA"/>
        </w:rPr>
        <w:t>розв</w:t>
      </w:r>
      <w:proofErr w:type="spellEnd"/>
      <w:r w:rsidRPr="001C71C2">
        <w:rPr>
          <w:sz w:val="24"/>
          <w:szCs w:val="24"/>
        </w:rPr>
        <w:t>’</w:t>
      </w:r>
      <w:proofErr w:type="spellStart"/>
      <w:r w:rsidRPr="001C71C2">
        <w:rPr>
          <w:sz w:val="24"/>
          <w:szCs w:val="24"/>
          <w:lang w:val="uk-UA"/>
        </w:rPr>
        <w:t>язання</w:t>
      </w:r>
      <w:proofErr w:type="spellEnd"/>
      <w:r w:rsidRPr="001C71C2">
        <w:rPr>
          <w:sz w:val="24"/>
          <w:szCs w:val="24"/>
          <w:lang w:val="uk-UA"/>
        </w:rPr>
        <w:t xml:space="preserve"> проблем розвитку та створити організації, які допоможуть об</w:t>
      </w:r>
      <w:r w:rsidRPr="001C71C2">
        <w:rPr>
          <w:sz w:val="24"/>
          <w:szCs w:val="24"/>
        </w:rPr>
        <w:t>’</w:t>
      </w:r>
      <w:r w:rsidRPr="001C71C2">
        <w:rPr>
          <w:sz w:val="24"/>
          <w:szCs w:val="24"/>
          <w:lang w:val="uk-UA"/>
        </w:rPr>
        <w:t>єднати погляди жителів.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Сьогодні в Україні громада будь-якого населеного пункту першочергово відчуває на собі загострення тих проблем економічного та соціального розвитку, які супроводжують її у повсякденному житті. Сукупність певних взаємопов’язаних та взаємообумовлених чинників прямо впливає на незадоволеність рівнем життя та середовищем, у якому людина здійснює певний вид діяльності, розвивається, веде побут та </w:t>
      </w:r>
      <w:proofErr w:type="spellStart"/>
      <w:r w:rsidRPr="001C71C2">
        <w:rPr>
          <w:sz w:val="24"/>
          <w:szCs w:val="24"/>
          <w:lang w:val="uk-UA"/>
        </w:rPr>
        <w:t>самореалізовується</w:t>
      </w:r>
      <w:proofErr w:type="spellEnd"/>
      <w:r w:rsidRPr="001C71C2">
        <w:rPr>
          <w:sz w:val="24"/>
          <w:szCs w:val="24"/>
          <w:lang w:val="uk-UA"/>
        </w:rPr>
        <w:t xml:space="preserve">. 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Жителі міст постійно нарікають на недостатньо якісні житлово-комунальні послуги, погану екологію та недосконалу інфраструктуру.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proofErr w:type="spellStart"/>
      <w:r w:rsidRPr="001C71C2">
        <w:rPr>
          <w:sz w:val="24"/>
          <w:szCs w:val="24"/>
          <w:lang w:val="uk-UA"/>
        </w:rPr>
        <w:t>Партиципаторне</w:t>
      </w:r>
      <w:proofErr w:type="spellEnd"/>
      <w:r w:rsidRPr="001C71C2">
        <w:rPr>
          <w:sz w:val="24"/>
          <w:szCs w:val="24"/>
          <w:lang w:val="uk-UA"/>
        </w:rPr>
        <w:t xml:space="preserve"> або громадське (</w:t>
      </w:r>
      <w:proofErr w:type="spellStart"/>
      <w:r w:rsidRPr="001C71C2">
        <w:rPr>
          <w:sz w:val="24"/>
          <w:szCs w:val="24"/>
          <w:lang w:val="uk-UA"/>
        </w:rPr>
        <w:t>учасницьке</w:t>
      </w:r>
      <w:proofErr w:type="spellEnd"/>
      <w:r w:rsidRPr="001C71C2">
        <w:rPr>
          <w:sz w:val="24"/>
          <w:szCs w:val="24"/>
          <w:lang w:val="uk-UA"/>
        </w:rPr>
        <w:t>) бюджетування як інструмент прямої демократії, за допомогою якого громадяни беруть участь у прийнятті рішень щодо розподілу бюджетних коштів, було вперше успішно втілене у бразильському Порту-Алегрі у 1989 році. Сьогодні його практикують тисячі населених пунктів по всіх континентах, а сам термін входить до словників економістів усього світу та до переліку рекомендацій ООН щодо ведення міських бюджетів. Останнім часом громадське бюджетування активно практикується і в Україні.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Саме методологія громадського бюджетування, як форма прямої демократії, визначається як відкритий процес дискусії та прийняття рішень, в якому кожен мешканець міста має можливість подавати власну пропозицію та шляхом голосування вирішити, в який спосіб та на що витрачати частину місцевого бюджету, що є основою цієї програми.</w:t>
      </w:r>
    </w:p>
    <w:p w:rsidR="00D75926" w:rsidRPr="001C71C2" w:rsidRDefault="00D75926" w:rsidP="00D75926">
      <w:pPr>
        <w:rPr>
          <w:sz w:val="24"/>
          <w:szCs w:val="24"/>
          <w:lang w:val="uk-UA"/>
        </w:rPr>
      </w:pPr>
    </w:p>
    <w:p w:rsidR="00D75926" w:rsidRPr="001C71C2" w:rsidRDefault="00D75926" w:rsidP="00D75926">
      <w:pPr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 w:rsidRPr="001C71C2">
        <w:rPr>
          <w:b/>
          <w:sz w:val="24"/>
          <w:szCs w:val="24"/>
          <w:lang w:val="uk-UA"/>
        </w:rPr>
        <w:t>Мета Програми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Головна мета Програми – посилення впливу громади на якість життя у своєму місті, підвищення відповідальності жителів за його розвиток та налагодження взаємозв’язку між громадою та владою.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Програма громадського бюджету </w:t>
      </w:r>
      <w:proofErr w:type="spellStart"/>
      <w:r w:rsidRPr="001C71C2">
        <w:rPr>
          <w:sz w:val="24"/>
          <w:szCs w:val="24"/>
          <w:lang w:val="uk-UA"/>
        </w:rPr>
        <w:t>Знам’янської</w:t>
      </w:r>
      <w:proofErr w:type="spellEnd"/>
      <w:r w:rsidRPr="001C71C2">
        <w:rPr>
          <w:sz w:val="24"/>
          <w:szCs w:val="24"/>
          <w:lang w:val="uk-UA"/>
        </w:rPr>
        <w:t xml:space="preserve"> міської територіальної громади  на 2021 -2025 роки спрямована на:</w:t>
      </w:r>
    </w:p>
    <w:p w:rsidR="00D75926" w:rsidRPr="001C71C2" w:rsidRDefault="00D75926" w:rsidP="00D75926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стимулювання та сприяння створенню організацій, покликаних розвивати громадські ініціативи, заохочувати членів територіальної громади до активізації своїх позицій;</w:t>
      </w:r>
    </w:p>
    <w:p w:rsidR="00D75926" w:rsidRPr="001C71C2" w:rsidRDefault="00D75926" w:rsidP="00D75926">
      <w:pPr>
        <w:numPr>
          <w:ilvl w:val="0"/>
          <w:numId w:val="2"/>
        </w:numPr>
        <w:tabs>
          <w:tab w:val="clear" w:pos="-732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надання можливості кожному жителю міста визначити проблему, яка, на його думку, потребує нагального вирішення;</w:t>
      </w:r>
    </w:p>
    <w:p w:rsidR="00D75926" w:rsidRPr="001C71C2" w:rsidRDefault="00D75926" w:rsidP="00D75926">
      <w:pPr>
        <w:numPr>
          <w:ilvl w:val="0"/>
          <w:numId w:val="2"/>
        </w:numPr>
        <w:tabs>
          <w:tab w:val="clear" w:pos="-732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розвиток різних форм співпраці влади з громадою, вивчення громадської думки;</w:t>
      </w:r>
    </w:p>
    <w:p w:rsidR="00D75926" w:rsidRPr="001C71C2" w:rsidRDefault="00D75926" w:rsidP="00D75926">
      <w:pPr>
        <w:numPr>
          <w:ilvl w:val="0"/>
          <w:numId w:val="2"/>
        </w:numPr>
        <w:tabs>
          <w:tab w:val="clear" w:pos="-732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залучення громадськості до процесів формування та реалізації діяльності влади і дотримання принципів відкритості, прозорості та публічності.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Головним принципом Програми громадського бюджету є зосередження спільних зусиль влади та громади на пріоритетних питаннях розвитку міста на основі законності, ефективності та доцільності.</w:t>
      </w:r>
    </w:p>
    <w:p w:rsidR="00D75926" w:rsidRPr="001C71C2" w:rsidRDefault="00D75926" w:rsidP="00D75926">
      <w:pPr>
        <w:rPr>
          <w:sz w:val="24"/>
          <w:szCs w:val="24"/>
          <w:lang w:val="uk-UA"/>
        </w:rPr>
      </w:pPr>
    </w:p>
    <w:p w:rsidR="00D75926" w:rsidRPr="001C71C2" w:rsidRDefault="00D75926" w:rsidP="00D75926">
      <w:pPr>
        <w:numPr>
          <w:ilvl w:val="0"/>
          <w:numId w:val="1"/>
        </w:numPr>
        <w:jc w:val="center"/>
        <w:rPr>
          <w:b/>
          <w:sz w:val="24"/>
          <w:szCs w:val="24"/>
          <w:lang w:val="uk-UA"/>
        </w:rPr>
      </w:pPr>
      <w:r w:rsidRPr="001C71C2">
        <w:rPr>
          <w:b/>
          <w:sz w:val="24"/>
          <w:szCs w:val="24"/>
          <w:lang w:val="uk-UA"/>
        </w:rPr>
        <w:lastRenderedPageBreak/>
        <w:t>Обґрунтування шляхів і засобів розв’язання проблеми, обсяг та джерела фінансування, термін виконання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Реалізація Програми відбуватиметься шляхом проведення Конкурсу на визначення кращих </w:t>
      </w:r>
      <w:proofErr w:type="spellStart"/>
      <w:r w:rsidRPr="001C71C2">
        <w:rPr>
          <w:sz w:val="24"/>
          <w:szCs w:val="24"/>
          <w:lang w:val="uk-UA"/>
        </w:rPr>
        <w:t>проєктів</w:t>
      </w:r>
      <w:proofErr w:type="spellEnd"/>
      <w:r w:rsidRPr="001C71C2">
        <w:rPr>
          <w:sz w:val="24"/>
          <w:szCs w:val="24"/>
          <w:lang w:val="uk-UA"/>
        </w:rPr>
        <w:t xml:space="preserve"> громадських ініціатив відповідно до Положення «Про громадський бюджет </w:t>
      </w:r>
      <w:proofErr w:type="spellStart"/>
      <w:r w:rsidRPr="001C71C2">
        <w:rPr>
          <w:sz w:val="24"/>
          <w:szCs w:val="24"/>
          <w:lang w:val="uk-UA"/>
        </w:rPr>
        <w:t>Знам’янської</w:t>
      </w:r>
      <w:proofErr w:type="spellEnd"/>
      <w:r w:rsidRPr="001C71C2">
        <w:rPr>
          <w:sz w:val="24"/>
          <w:szCs w:val="24"/>
          <w:lang w:val="uk-UA"/>
        </w:rPr>
        <w:t xml:space="preserve"> міської територіальної громади» 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На реалізацію Програми передбачається у сумі </w:t>
      </w:r>
      <w:r>
        <w:rPr>
          <w:sz w:val="24"/>
          <w:szCs w:val="24"/>
          <w:lang w:val="uk-UA"/>
        </w:rPr>
        <w:t>від 0,3% до 0,5%</w:t>
      </w:r>
      <w:r w:rsidRPr="001C71C2">
        <w:rPr>
          <w:sz w:val="24"/>
          <w:szCs w:val="24"/>
          <w:lang w:val="uk-UA"/>
        </w:rPr>
        <w:t xml:space="preserve"> затвердженого обсягу доходів загального фонду міського бюджету без урахування міжбюджетних трансфертів. На інформаційну кампанію та промоцію виділяється до 1 % від загального річного бюджету Громадського бюджету.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Сума коштів із бюджету громади на реалізацію </w:t>
      </w:r>
      <w:proofErr w:type="spellStart"/>
      <w:r w:rsidRPr="001C71C2">
        <w:rPr>
          <w:sz w:val="24"/>
          <w:szCs w:val="24"/>
          <w:lang w:val="uk-UA"/>
        </w:rPr>
        <w:t>проєктних</w:t>
      </w:r>
      <w:proofErr w:type="spellEnd"/>
      <w:r w:rsidRPr="001C71C2">
        <w:rPr>
          <w:sz w:val="24"/>
          <w:szCs w:val="24"/>
          <w:lang w:val="uk-UA"/>
        </w:rPr>
        <w:t xml:space="preserve"> заявок розділяється пропорційно на міні (локальні) </w:t>
      </w:r>
      <w:proofErr w:type="spellStart"/>
      <w:r w:rsidRPr="001C71C2">
        <w:rPr>
          <w:sz w:val="24"/>
          <w:szCs w:val="24"/>
          <w:lang w:val="uk-UA"/>
        </w:rPr>
        <w:t>проєкти</w:t>
      </w:r>
      <w:proofErr w:type="spellEnd"/>
      <w:r w:rsidRPr="001C71C2">
        <w:rPr>
          <w:sz w:val="24"/>
          <w:szCs w:val="24"/>
          <w:lang w:val="uk-UA"/>
        </w:rPr>
        <w:t xml:space="preserve"> 60% та проекти (загальноміські) 40%. 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На реалізацію </w:t>
      </w:r>
      <w:proofErr w:type="spellStart"/>
      <w:r w:rsidRPr="001C71C2">
        <w:rPr>
          <w:sz w:val="24"/>
          <w:szCs w:val="24"/>
          <w:lang w:val="uk-UA"/>
        </w:rPr>
        <w:t>проєктів</w:t>
      </w:r>
      <w:proofErr w:type="spellEnd"/>
      <w:r w:rsidRPr="001C71C2">
        <w:rPr>
          <w:sz w:val="24"/>
          <w:szCs w:val="24"/>
          <w:lang w:val="uk-UA"/>
        </w:rPr>
        <w:t xml:space="preserve"> сума не повинна перевищувати 40.0 тис. </w:t>
      </w:r>
      <w:proofErr w:type="spellStart"/>
      <w:r w:rsidRPr="001C71C2">
        <w:rPr>
          <w:sz w:val="24"/>
          <w:szCs w:val="24"/>
          <w:lang w:val="uk-UA"/>
        </w:rPr>
        <w:t>грн</w:t>
      </w:r>
      <w:proofErr w:type="spellEnd"/>
      <w:r w:rsidRPr="001C71C2">
        <w:rPr>
          <w:sz w:val="24"/>
          <w:szCs w:val="24"/>
          <w:lang w:val="uk-UA"/>
        </w:rPr>
        <w:t xml:space="preserve"> за один </w:t>
      </w:r>
      <w:proofErr w:type="spellStart"/>
      <w:r w:rsidRPr="001C71C2">
        <w:rPr>
          <w:sz w:val="24"/>
          <w:szCs w:val="24"/>
          <w:lang w:val="uk-UA"/>
        </w:rPr>
        <w:t>міні-проєкт</w:t>
      </w:r>
      <w:proofErr w:type="spellEnd"/>
      <w:r w:rsidRPr="001C71C2">
        <w:rPr>
          <w:sz w:val="24"/>
          <w:szCs w:val="24"/>
          <w:lang w:val="uk-UA"/>
        </w:rPr>
        <w:t xml:space="preserve"> (локальний) та не повинна перевищувати 150.0 тис. грн. за один проект (загальноміський).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Фінансування Програми здійснюється відповідно до діючого законодавства України за рахунок коштів міського бюджету.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Відповідальними (головними) виконавцями Програми є головні розпорядники коштів бюджету </w:t>
      </w:r>
      <w:proofErr w:type="spellStart"/>
      <w:r w:rsidRPr="001C71C2">
        <w:rPr>
          <w:rFonts w:eastAsia="Calibri"/>
          <w:sz w:val="24"/>
          <w:szCs w:val="24"/>
          <w:lang w:val="uk-UA"/>
        </w:rPr>
        <w:t>Знам’янської</w:t>
      </w:r>
      <w:proofErr w:type="spellEnd"/>
      <w:r w:rsidRPr="001C71C2">
        <w:rPr>
          <w:rFonts w:eastAsia="Calibri"/>
          <w:sz w:val="24"/>
          <w:szCs w:val="24"/>
          <w:lang w:val="uk-UA"/>
        </w:rPr>
        <w:t xml:space="preserve"> міської територіальної громади на 2021-2025 роки</w:t>
      </w:r>
      <w:r w:rsidRPr="001C71C2">
        <w:rPr>
          <w:sz w:val="24"/>
          <w:szCs w:val="24"/>
          <w:lang w:val="uk-UA"/>
        </w:rPr>
        <w:t xml:space="preserve">, до повноважень яких відноситься реалізація </w:t>
      </w:r>
      <w:proofErr w:type="spellStart"/>
      <w:r w:rsidRPr="001C71C2">
        <w:rPr>
          <w:sz w:val="24"/>
          <w:szCs w:val="24"/>
          <w:lang w:val="uk-UA"/>
        </w:rPr>
        <w:t>проєктів</w:t>
      </w:r>
      <w:proofErr w:type="spellEnd"/>
      <w:r w:rsidRPr="001C71C2">
        <w:rPr>
          <w:sz w:val="24"/>
          <w:szCs w:val="24"/>
          <w:lang w:val="uk-UA"/>
        </w:rPr>
        <w:t xml:space="preserve">. 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Відповідальні виконавці протягом усього строку реалізації Програми забезпечують цільове та ефективне використання бюджетних коштів.</w:t>
      </w:r>
    </w:p>
    <w:p w:rsidR="00D75926" w:rsidRPr="001C71C2" w:rsidRDefault="00D75926" w:rsidP="00D75926">
      <w:pPr>
        <w:rPr>
          <w:sz w:val="24"/>
          <w:szCs w:val="24"/>
          <w:lang w:val="uk-UA"/>
        </w:rPr>
      </w:pPr>
    </w:p>
    <w:p w:rsidR="00D75926" w:rsidRPr="001C71C2" w:rsidRDefault="00D75926" w:rsidP="00D75926">
      <w:pPr>
        <w:ind w:firstLine="360"/>
        <w:jc w:val="center"/>
        <w:rPr>
          <w:sz w:val="24"/>
          <w:szCs w:val="24"/>
          <w:lang w:val="uk-UA"/>
        </w:rPr>
      </w:pPr>
      <w:r w:rsidRPr="001C71C2">
        <w:rPr>
          <w:b/>
          <w:sz w:val="24"/>
          <w:szCs w:val="24"/>
          <w:lang w:val="uk-UA"/>
        </w:rPr>
        <w:t>5. Завдання Програми, напрямки використання бюджетних коштів та результативні показники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Основним завданням Програми є активізація співпраці громадян та </w:t>
      </w:r>
      <w:proofErr w:type="spellStart"/>
      <w:r w:rsidRPr="001C71C2">
        <w:rPr>
          <w:sz w:val="24"/>
          <w:szCs w:val="24"/>
          <w:lang w:val="uk-UA"/>
        </w:rPr>
        <w:t>Знам</w:t>
      </w:r>
      <w:r w:rsidRPr="001C71C2">
        <w:rPr>
          <w:rFonts w:ascii="Cambria Math" w:hAnsi="Cambria Math" w:cs="Cambria Math"/>
          <w:sz w:val="24"/>
          <w:szCs w:val="24"/>
          <w:lang w:val="uk-UA"/>
        </w:rPr>
        <w:t>ʼ</w:t>
      </w:r>
      <w:r w:rsidRPr="001C71C2">
        <w:rPr>
          <w:sz w:val="24"/>
          <w:szCs w:val="24"/>
          <w:lang w:val="uk-UA"/>
        </w:rPr>
        <w:t>янської</w:t>
      </w:r>
      <w:proofErr w:type="spellEnd"/>
      <w:r w:rsidRPr="001C71C2">
        <w:rPr>
          <w:sz w:val="24"/>
          <w:szCs w:val="24"/>
          <w:lang w:val="uk-UA"/>
        </w:rPr>
        <w:t xml:space="preserve"> міської ради шляхом реалізації громадських </w:t>
      </w:r>
      <w:proofErr w:type="spellStart"/>
      <w:r w:rsidRPr="001C71C2">
        <w:rPr>
          <w:sz w:val="24"/>
          <w:szCs w:val="24"/>
          <w:lang w:val="uk-UA"/>
        </w:rPr>
        <w:t>проєктів</w:t>
      </w:r>
      <w:proofErr w:type="spellEnd"/>
      <w:r w:rsidRPr="001C71C2">
        <w:rPr>
          <w:sz w:val="24"/>
          <w:szCs w:val="24"/>
          <w:lang w:val="uk-UA"/>
        </w:rPr>
        <w:t>, які здобудуть найбільшу підтримку жителів громади.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Результати реалізації Програми:</w:t>
      </w:r>
    </w:p>
    <w:p w:rsidR="00D75926" w:rsidRPr="001C71C2" w:rsidRDefault="00D75926" w:rsidP="00D75926">
      <w:pPr>
        <w:numPr>
          <w:ilvl w:val="0"/>
          <w:numId w:val="2"/>
        </w:numPr>
        <w:tabs>
          <w:tab w:val="clear" w:pos="-732"/>
          <w:tab w:val="num" w:pos="0"/>
        </w:tabs>
        <w:ind w:firstLine="732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виховання почуття відповідальності та патріотизму до громади;</w:t>
      </w:r>
    </w:p>
    <w:p w:rsidR="00D75926" w:rsidRPr="001C71C2" w:rsidRDefault="00D75926" w:rsidP="00D75926">
      <w:pPr>
        <w:numPr>
          <w:ilvl w:val="0"/>
          <w:numId w:val="2"/>
        </w:numPr>
        <w:ind w:firstLine="732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підвищення суспільної активності мешканців громади;</w:t>
      </w:r>
    </w:p>
    <w:p w:rsidR="00D75926" w:rsidRPr="001C71C2" w:rsidRDefault="00D75926" w:rsidP="00D75926">
      <w:pPr>
        <w:numPr>
          <w:ilvl w:val="0"/>
          <w:numId w:val="2"/>
        </w:numPr>
        <w:ind w:firstLine="732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першочергове врахування думки та пропозицій громадськості у вирішення пріоритетних завдань розвитку територій;</w:t>
      </w:r>
    </w:p>
    <w:p w:rsidR="00D75926" w:rsidRPr="001C71C2" w:rsidRDefault="00D75926" w:rsidP="00D75926">
      <w:pPr>
        <w:numPr>
          <w:ilvl w:val="0"/>
          <w:numId w:val="2"/>
        </w:numPr>
        <w:ind w:firstLine="732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побудова комфортного та прогресивного середовища в громаді.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Бюджетні кошти спрямовуються виключно на суспільно-корисні </w:t>
      </w:r>
      <w:proofErr w:type="spellStart"/>
      <w:r w:rsidRPr="001C71C2">
        <w:rPr>
          <w:sz w:val="24"/>
          <w:szCs w:val="24"/>
          <w:lang w:val="uk-UA"/>
        </w:rPr>
        <w:t>проєкти</w:t>
      </w:r>
      <w:proofErr w:type="spellEnd"/>
      <w:r w:rsidRPr="001C71C2">
        <w:rPr>
          <w:sz w:val="24"/>
          <w:szCs w:val="24"/>
          <w:lang w:val="uk-UA"/>
        </w:rPr>
        <w:t xml:space="preserve">. Не допускаються до участі в Конкурсі та фінансування такі </w:t>
      </w:r>
      <w:proofErr w:type="spellStart"/>
      <w:r w:rsidRPr="001C71C2">
        <w:rPr>
          <w:sz w:val="24"/>
          <w:szCs w:val="24"/>
          <w:lang w:val="uk-UA"/>
        </w:rPr>
        <w:t>проєкти</w:t>
      </w:r>
      <w:proofErr w:type="spellEnd"/>
      <w:r w:rsidRPr="001C71C2">
        <w:rPr>
          <w:sz w:val="24"/>
          <w:szCs w:val="24"/>
          <w:lang w:val="uk-UA"/>
        </w:rPr>
        <w:t>: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- витрати на обслуговування яких перевищують вартість їх реалізації;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- якими передбачено ремонт та реконструкцію приватного або державного майна за рахунок  коштів міського бюджету;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- реалізація яких потребує співпраці з організаціями, з якими немає письмового погодження на таку співпрацю;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- спрямовані на комерційну, політичну чи виборчу діяльність;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>- які передбачають ремонт або придбання побутової техніки;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- інші, які суперечать Положенню про громадський бюджет </w:t>
      </w:r>
      <w:proofErr w:type="spellStart"/>
      <w:r w:rsidRPr="001C71C2">
        <w:rPr>
          <w:sz w:val="24"/>
          <w:szCs w:val="24"/>
          <w:lang w:val="uk-UA"/>
        </w:rPr>
        <w:t>Знам’янської</w:t>
      </w:r>
      <w:proofErr w:type="spellEnd"/>
      <w:r w:rsidRPr="001C71C2">
        <w:rPr>
          <w:sz w:val="24"/>
          <w:szCs w:val="24"/>
          <w:lang w:val="uk-UA"/>
        </w:rPr>
        <w:t xml:space="preserve"> міської територіальної громади.</w:t>
      </w:r>
    </w:p>
    <w:p w:rsidR="00D75926" w:rsidRPr="001C71C2" w:rsidRDefault="00D75926" w:rsidP="00D75926">
      <w:pPr>
        <w:ind w:left="-732"/>
        <w:jc w:val="center"/>
        <w:rPr>
          <w:b/>
          <w:sz w:val="24"/>
          <w:szCs w:val="24"/>
          <w:lang w:val="uk-UA"/>
        </w:rPr>
      </w:pPr>
    </w:p>
    <w:p w:rsidR="00D75926" w:rsidRPr="001C71C2" w:rsidRDefault="00D75926" w:rsidP="00D75926">
      <w:pPr>
        <w:ind w:left="-732"/>
        <w:jc w:val="center"/>
        <w:rPr>
          <w:b/>
          <w:sz w:val="24"/>
          <w:szCs w:val="24"/>
          <w:lang w:val="uk-UA"/>
        </w:rPr>
      </w:pPr>
      <w:r w:rsidRPr="001C71C2">
        <w:rPr>
          <w:b/>
          <w:sz w:val="24"/>
          <w:szCs w:val="24"/>
          <w:lang w:val="uk-UA"/>
        </w:rPr>
        <w:t>6. Координація та контроль за ходом виконання програми</w:t>
      </w:r>
    </w:p>
    <w:p w:rsidR="00D75926" w:rsidRPr="001C71C2" w:rsidRDefault="00D75926" w:rsidP="00D75926">
      <w:pPr>
        <w:ind w:left="-732" w:firstLine="732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Координацію та контроль за ходом виконання Програми здійснює Координаційна рада з реалізації Положення про громадський бюджет </w:t>
      </w:r>
      <w:proofErr w:type="spellStart"/>
      <w:r w:rsidRPr="001C71C2">
        <w:rPr>
          <w:sz w:val="24"/>
          <w:szCs w:val="24"/>
          <w:lang w:val="uk-UA"/>
        </w:rPr>
        <w:t>Знам’янської</w:t>
      </w:r>
      <w:proofErr w:type="spellEnd"/>
      <w:r w:rsidRPr="001C71C2">
        <w:rPr>
          <w:sz w:val="24"/>
          <w:szCs w:val="24"/>
          <w:lang w:val="uk-UA"/>
        </w:rPr>
        <w:t xml:space="preserve"> територіальної громади та виконавчий апарат </w:t>
      </w:r>
      <w:proofErr w:type="spellStart"/>
      <w:r w:rsidRPr="001C71C2">
        <w:rPr>
          <w:sz w:val="24"/>
          <w:szCs w:val="24"/>
          <w:lang w:val="uk-UA"/>
        </w:rPr>
        <w:t>Знам</w:t>
      </w:r>
      <w:r w:rsidRPr="001C71C2">
        <w:rPr>
          <w:rFonts w:ascii="Cambria Math" w:hAnsi="Cambria Math" w:cs="Cambria Math"/>
          <w:sz w:val="24"/>
          <w:szCs w:val="24"/>
          <w:lang w:val="uk-UA"/>
        </w:rPr>
        <w:t>ʼ</w:t>
      </w:r>
      <w:r w:rsidRPr="001C71C2">
        <w:rPr>
          <w:sz w:val="24"/>
          <w:szCs w:val="24"/>
          <w:lang w:val="uk-UA"/>
        </w:rPr>
        <w:t>янської</w:t>
      </w:r>
      <w:proofErr w:type="spellEnd"/>
      <w:r w:rsidRPr="001C71C2">
        <w:rPr>
          <w:sz w:val="24"/>
          <w:szCs w:val="24"/>
          <w:lang w:val="uk-UA"/>
        </w:rPr>
        <w:t xml:space="preserve"> міської ради. Звіт про виконання Програми публікується щорічно на офіційному сайті </w:t>
      </w:r>
      <w:proofErr w:type="spellStart"/>
      <w:r w:rsidRPr="001C71C2">
        <w:rPr>
          <w:sz w:val="24"/>
          <w:szCs w:val="24"/>
          <w:lang w:val="uk-UA"/>
        </w:rPr>
        <w:t>Знам</w:t>
      </w:r>
      <w:r w:rsidRPr="001C71C2">
        <w:rPr>
          <w:rFonts w:ascii="Cambria Math" w:hAnsi="Cambria Math" w:cs="Cambria Math"/>
          <w:sz w:val="24"/>
          <w:szCs w:val="24"/>
          <w:lang w:val="uk-UA"/>
        </w:rPr>
        <w:t>ʼ</w:t>
      </w:r>
      <w:r w:rsidRPr="001C71C2">
        <w:rPr>
          <w:sz w:val="24"/>
          <w:szCs w:val="24"/>
          <w:lang w:val="uk-UA"/>
        </w:rPr>
        <w:t>янської</w:t>
      </w:r>
      <w:proofErr w:type="spellEnd"/>
      <w:r w:rsidRPr="001C71C2">
        <w:rPr>
          <w:sz w:val="24"/>
          <w:szCs w:val="24"/>
          <w:lang w:val="uk-UA"/>
        </w:rPr>
        <w:t xml:space="preserve"> міської ради протягом двох місяців року, наступного за звітним.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</w:p>
    <w:p w:rsidR="00D75926" w:rsidRPr="001C71C2" w:rsidRDefault="00D75926" w:rsidP="00D75926">
      <w:pPr>
        <w:tabs>
          <w:tab w:val="center" w:pos="2090"/>
          <w:tab w:val="left" w:pos="6765"/>
        </w:tabs>
        <w:spacing w:line="360" w:lineRule="auto"/>
        <w:jc w:val="center"/>
        <w:rPr>
          <w:b/>
          <w:sz w:val="24"/>
          <w:szCs w:val="24"/>
          <w:lang w:val="uk-UA"/>
        </w:rPr>
      </w:pPr>
      <w:r w:rsidRPr="001C71C2">
        <w:rPr>
          <w:b/>
          <w:color w:val="000000"/>
          <w:sz w:val="24"/>
          <w:szCs w:val="24"/>
          <w:lang w:val="uk-UA"/>
        </w:rPr>
        <w:lastRenderedPageBreak/>
        <w:t xml:space="preserve">7. Перелік заходів </w:t>
      </w:r>
      <w:r w:rsidRPr="001C71C2">
        <w:rPr>
          <w:b/>
          <w:sz w:val="24"/>
          <w:szCs w:val="24"/>
          <w:lang w:val="uk-UA"/>
        </w:rPr>
        <w:t xml:space="preserve">громадського бюджету </w:t>
      </w:r>
      <w:proofErr w:type="spellStart"/>
      <w:r w:rsidRPr="001C71C2">
        <w:rPr>
          <w:b/>
          <w:sz w:val="24"/>
          <w:szCs w:val="24"/>
          <w:lang w:val="uk-UA"/>
        </w:rPr>
        <w:t>Знам’янської</w:t>
      </w:r>
      <w:proofErr w:type="spellEnd"/>
      <w:r w:rsidRPr="001C71C2">
        <w:rPr>
          <w:b/>
          <w:sz w:val="24"/>
          <w:szCs w:val="24"/>
          <w:lang w:val="uk-UA"/>
        </w:rPr>
        <w:t xml:space="preserve"> територіальної громади</w:t>
      </w:r>
    </w:p>
    <w:p w:rsidR="00D75926" w:rsidRPr="001C71C2" w:rsidRDefault="00D75926" w:rsidP="00D75926">
      <w:pPr>
        <w:jc w:val="center"/>
        <w:rPr>
          <w:b/>
          <w:sz w:val="24"/>
          <w:szCs w:val="24"/>
          <w:lang w:val="uk-UA"/>
        </w:rPr>
      </w:pPr>
      <w:r w:rsidRPr="001C71C2">
        <w:rPr>
          <w:b/>
          <w:sz w:val="24"/>
          <w:szCs w:val="24"/>
          <w:lang w:val="uk-UA"/>
        </w:rPr>
        <w:t>на 2021-2025 роки</w:t>
      </w:r>
    </w:p>
    <w:p w:rsidR="00D75926" w:rsidRPr="001C71C2" w:rsidRDefault="00D75926" w:rsidP="00D75926">
      <w:pPr>
        <w:jc w:val="center"/>
        <w:rPr>
          <w:b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C71C2">
              <w:rPr>
                <w:b/>
                <w:color w:val="000000"/>
                <w:sz w:val="24"/>
                <w:szCs w:val="24"/>
                <w:lang w:val="uk-UA"/>
              </w:rPr>
              <w:t>№ п/</w:t>
            </w:r>
            <w:proofErr w:type="spellStart"/>
            <w:r w:rsidRPr="001C71C2">
              <w:rPr>
                <w:b/>
                <w:color w:val="000000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C71C2">
              <w:rPr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C71C2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D75926" w:rsidRPr="001C71C2" w:rsidTr="006A67F3">
        <w:tc>
          <w:tcPr>
            <w:tcW w:w="9571" w:type="dxa"/>
            <w:gridSpan w:val="3"/>
            <w:vAlign w:val="center"/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C71C2">
              <w:rPr>
                <w:b/>
                <w:sz w:val="24"/>
                <w:szCs w:val="24"/>
                <w:lang w:val="uk-UA"/>
              </w:rPr>
              <w:t xml:space="preserve">1. Подання </w:t>
            </w:r>
            <w:proofErr w:type="spellStart"/>
            <w:r w:rsidRPr="001C71C2">
              <w:rPr>
                <w:b/>
                <w:sz w:val="24"/>
                <w:szCs w:val="24"/>
                <w:lang w:val="uk-UA"/>
              </w:rPr>
              <w:t>проєктів</w:t>
            </w:r>
            <w:proofErr w:type="spellEnd"/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1.1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Інформаційна кампанія щодо ознайомлення жителів мі</w:t>
            </w:r>
            <w:r w:rsidRPr="001C71C2">
              <w:rPr>
                <w:sz w:val="22"/>
                <w:szCs w:val="24"/>
              </w:rPr>
              <w:t xml:space="preserve">ста з </w:t>
            </w:r>
            <w:proofErr w:type="spellStart"/>
            <w:r w:rsidRPr="001C71C2">
              <w:rPr>
                <w:sz w:val="22"/>
                <w:szCs w:val="24"/>
              </w:rPr>
              <w:t>основними</w:t>
            </w:r>
            <w:proofErr w:type="spellEnd"/>
            <w:r w:rsidRPr="001C71C2">
              <w:rPr>
                <w:sz w:val="22"/>
                <w:szCs w:val="24"/>
              </w:rPr>
              <w:t xml:space="preserve"> принципами та </w:t>
            </w:r>
            <w:proofErr w:type="spellStart"/>
            <w:r w:rsidRPr="001C71C2">
              <w:rPr>
                <w:sz w:val="22"/>
                <w:szCs w:val="24"/>
              </w:rPr>
              <w:t>можливостями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бюджетування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вимогами</w:t>
            </w:r>
            <w:proofErr w:type="spellEnd"/>
            <w:r w:rsidRPr="001C71C2">
              <w:rPr>
                <w:sz w:val="22"/>
                <w:szCs w:val="24"/>
              </w:rPr>
              <w:t xml:space="preserve"> до </w:t>
            </w:r>
            <w:proofErr w:type="spellStart"/>
            <w:r w:rsidRPr="001C71C2">
              <w:rPr>
                <w:sz w:val="22"/>
                <w:szCs w:val="24"/>
              </w:rPr>
              <w:t>подання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про’ктів</w:t>
            </w:r>
            <w:proofErr w:type="spellEnd"/>
            <w:r w:rsidRPr="001C71C2">
              <w:rPr>
                <w:sz w:val="22"/>
                <w:szCs w:val="24"/>
              </w:rPr>
              <w:t xml:space="preserve"> та </w:t>
            </w:r>
            <w:proofErr w:type="spellStart"/>
            <w:r w:rsidRPr="001C71C2">
              <w:rPr>
                <w:sz w:val="22"/>
                <w:szCs w:val="24"/>
              </w:rPr>
              <w:t>заохочення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мешканців</w:t>
            </w:r>
            <w:proofErr w:type="spellEnd"/>
            <w:r w:rsidRPr="001C71C2">
              <w:rPr>
                <w:sz w:val="22"/>
                <w:szCs w:val="24"/>
              </w:rPr>
              <w:t xml:space="preserve"> до </w:t>
            </w:r>
            <w:proofErr w:type="spellStart"/>
            <w:r w:rsidRPr="001C71C2">
              <w:rPr>
                <w:sz w:val="22"/>
                <w:szCs w:val="24"/>
              </w:rPr>
              <w:t>подання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пропозицій</w:t>
            </w:r>
            <w:proofErr w:type="spell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Координаційн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рад</w:t>
            </w:r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по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впровадженню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r w:rsidRPr="001C71C2">
              <w:rPr>
                <w:bCs/>
                <w:kern w:val="32"/>
                <w:sz w:val="22"/>
                <w:szCs w:val="24"/>
              </w:rPr>
              <w:t xml:space="preserve">та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реалізації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бюджету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міської територіальної громади</w:t>
            </w:r>
            <w:r w:rsidRPr="001C71C2">
              <w:rPr>
                <w:sz w:val="22"/>
                <w:szCs w:val="24"/>
                <w:lang w:val="uk-UA"/>
              </w:rPr>
              <w:t>,</w:t>
            </w:r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  <w:lang w:val="uk-UA"/>
              </w:rPr>
            </w:pPr>
          </w:p>
          <w:p w:rsidR="00D75926" w:rsidRPr="001C71C2" w:rsidRDefault="00D75926" w:rsidP="006A67F3">
            <w:pPr>
              <w:tabs>
                <w:tab w:val="center" w:pos="4677"/>
                <w:tab w:val="left" w:pos="6765"/>
              </w:tabs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Фінансове управління,</w:t>
            </w:r>
          </w:p>
          <w:p w:rsidR="00D75926" w:rsidRPr="001C71C2" w:rsidRDefault="00D75926" w:rsidP="006A67F3">
            <w:pPr>
              <w:tabs>
                <w:tab w:val="center" w:pos="4677"/>
                <w:tab w:val="left" w:pos="6765"/>
              </w:tabs>
              <w:jc w:val="center"/>
              <w:rPr>
                <w:sz w:val="22"/>
                <w:szCs w:val="24"/>
                <w:lang w:val="uk-UA"/>
              </w:rPr>
            </w:pPr>
          </w:p>
          <w:p w:rsidR="00D75926" w:rsidRPr="001C71C2" w:rsidRDefault="00D75926" w:rsidP="006A67F3">
            <w:pPr>
              <w:tabs>
                <w:tab w:val="center" w:pos="4677"/>
                <w:tab w:val="left" w:pos="6765"/>
              </w:tabs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економічного розвитку, промисловості, інфраструктури та торгівлі,</w:t>
            </w:r>
          </w:p>
          <w:p w:rsidR="00D75926" w:rsidRPr="001C71C2" w:rsidRDefault="00D75926" w:rsidP="006A67F3">
            <w:pPr>
              <w:tabs>
                <w:tab w:val="center" w:pos="4677"/>
                <w:tab w:val="left" w:pos="6765"/>
              </w:tabs>
              <w:jc w:val="center"/>
              <w:rPr>
                <w:sz w:val="22"/>
                <w:szCs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1.2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</w:rPr>
            </w:pPr>
            <w:proofErr w:type="spellStart"/>
            <w:r w:rsidRPr="001C71C2">
              <w:rPr>
                <w:sz w:val="22"/>
                <w:szCs w:val="24"/>
              </w:rPr>
              <w:t>Подання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</w:t>
            </w:r>
            <w:proofErr w:type="gramStart"/>
            <w:r w:rsidRPr="001C71C2">
              <w:rPr>
                <w:sz w:val="22"/>
                <w:szCs w:val="24"/>
              </w:rPr>
              <w:t>в</w:t>
            </w:r>
            <w:proofErr w:type="spellEnd"/>
            <w:proofErr w:type="gramEnd"/>
            <w:r w:rsidRPr="001C71C2">
              <w:rPr>
                <w:sz w:val="22"/>
                <w:szCs w:val="24"/>
              </w:rPr>
              <w:t xml:space="preserve"> </w:t>
            </w:r>
            <w:proofErr w:type="gramStart"/>
            <w:r w:rsidRPr="001C71C2">
              <w:rPr>
                <w:sz w:val="22"/>
                <w:szCs w:val="24"/>
              </w:rPr>
              <w:t>за</w:t>
            </w:r>
            <w:proofErr w:type="gramEnd"/>
            <w:r w:rsidRPr="001C71C2">
              <w:rPr>
                <w:sz w:val="22"/>
                <w:szCs w:val="24"/>
              </w:rPr>
              <w:t xml:space="preserve"> формою </w:t>
            </w:r>
            <w:proofErr w:type="spellStart"/>
            <w:r w:rsidRPr="001C71C2">
              <w:rPr>
                <w:sz w:val="22"/>
                <w:szCs w:val="24"/>
              </w:rPr>
              <w:t>згідно</w:t>
            </w:r>
            <w:proofErr w:type="spellEnd"/>
            <w:r w:rsidRPr="001C71C2">
              <w:rPr>
                <w:sz w:val="22"/>
                <w:szCs w:val="24"/>
              </w:rPr>
              <w:t xml:space="preserve"> з </w:t>
            </w:r>
            <w:proofErr w:type="spellStart"/>
            <w:r w:rsidRPr="001C71C2">
              <w:rPr>
                <w:sz w:val="22"/>
                <w:szCs w:val="24"/>
              </w:rPr>
              <w:t>додатком</w:t>
            </w:r>
            <w:proofErr w:type="spellEnd"/>
            <w:r w:rsidRPr="001C71C2">
              <w:rPr>
                <w:sz w:val="22"/>
                <w:szCs w:val="24"/>
              </w:rPr>
              <w:t xml:space="preserve"> 1 до </w:t>
            </w:r>
            <w:proofErr w:type="spellStart"/>
            <w:r w:rsidRPr="001C71C2">
              <w:rPr>
                <w:sz w:val="22"/>
                <w:szCs w:val="24"/>
              </w:rPr>
              <w:t>Положення</w:t>
            </w:r>
            <w:proofErr w:type="spellEnd"/>
            <w:r w:rsidRPr="001C71C2">
              <w:rPr>
                <w:sz w:val="22"/>
                <w:szCs w:val="24"/>
              </w:rPr>
              <w:t xml:space="preserve"> за </w:t>
            </w:r>
            <w:proofErr w:type="spellStart"/>
            <w:r w:rsidRPr="001C71C2">
              <w:rPr>
                <w:sz w:val="22"/>
                <w:szCs w:val="24"/>
              </w:rPr>
              <w:t>адресою</w:t>
            </w:r>
            <w:proofErr w:type="spellEnd"/>
            <w:r w:rsidRPr="001C71C2">
              <w:rPr>
                <w:sz w:val="22"/>
                <w:szCs w:val="24"/>
              </w:rPr>
              <w:t xml:space="preserve">: </w:t>
            </w:r>
            <w:r w:rsidRPr="001C71C2">
              <w:rPr>
                <w:sz w:val="22"/>
                <w:szCs w:val="24"/>
                <w:lang w:val="uk-UA"/>
              </w:rPr>
              <w:t>27400</w:t>
            </w:r>
            <w:r w:rsidRPr="001C71C2">
              <w:rPr>
                <w:sz w:val="22"/>
                <w:szCs w:val="24"/>
              </w:rPr>
              <w:t xml:space="preserve">, м. </w:t>
            </w:r>
            <w:r w:rsidRPr="001C71C2">
              <w:rPr>
                <w:sz w:val="22"/>
                <w:szCs w:val="24"/>
                <w:lang w:val="uk-UA"/>
              </w:rPr>
              <w:t>Знам’янка</w:t>
            </w:r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вул</w:t>
            </w:r>
            <w:proofErr w:type="spellEnd"/>
            <w:r w:rsidRPr="001C71C2">
              <w:rPr>
                <w:sz w:val="22"/>
                <w:szCs w:val="24"/>
              </w:rPr>
              <w:t xml:space="preserve">. </w:t>
            </w:r>
            <w:r w:rsidRPr="001C71C2">
              <w:rPr>
                <w:sz w:val="22"/>
                <w:szCs w:val="24"/>
                <w:lang w:val="uk-UA"/>
              </w:rPr>
              <w:t>Михайла Грушевського, 19</w:t>
            </w:r>
            <w:r w:rsidRPr="001C71C2">
              <w:rPr>
                <w:sz w:val="22"/>
                <w:szCs w:val="24"/>
              </w:rPr>
              <w:t xml:space="preserve">, в </w:t>
            </w:r>
            <w:proofErr w:type="spellStart"/>
            <w:r w:rsidRPr="001C71C2">
              <w:rPr>
                <w:sz w:val="22"/>
                <w:szCs w:val="24"/>
              </w:rPr>
              <w:t>електронному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вигляді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r w:rsidRPr="001C71C2">
              <w:rPr>
                <w:sz w:val="22"/>
                <w:szCs w:val="24"/>
                <w:lang w:val="uk-UA"/>
              </w:rPr>
              <w:t xml:space="preserve">на </w:t>
            </w:r>
            <w:r w:rsidRPr="001C71C2">
              <w:rPr>
                <w:rFonts w:eastAsia="Calibri"/>
                <w:color w:val="000000"/>
                <w:sz w:val="22"/>
                <w:szCs w:val="24"/>
                <w:lang w:val="uk-UA" w:eastAsia="en-US"/>
              </w:rPr>
              <w:t xml:space="preserve">Е-сервіс «Громадський </w:t>
            </w:r>
            <w:proofErr w:type="spellStart"/>
            <w:r w:rsidRPr="001C71C2">
              <w:rPr>
                <w:rFonts w:eastAsia="Calibri"/>
                <w:color w:val="000000"/>
                <w:sz w:val="22"/>
                <w:szCs w:val="24"/>
                <w:lang w:val="uk-UA" w:eastAsia="en-US"/>
              </w:rPr>
              <w:t>проєкт</w:t>
            </w:r>
            <w:proofErr w:type="spellEnd"/>
            <w:r w:rsidRPr="001C71C2">
              <w:rPr>
                <w:rFonts w:eastAsia="Calibri"/>
                <w:b/>
                <w:color w:val="000000"/>
                <w:sz w:val="22"/>
                <w:szCs w:val="24"/>
                <w:lang w:val="uk-UA" w:eastAsia="en-US"/>
              </w:rPr>
              <w:t>»</w:t>
            </w:r>
            <w:r w:rsidRPr="001C71C2">
              <w:rPr>
                <w:sz w:val="22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Автор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Проєкту</w:t>
            </w:r>
            <w:proofErr w:type="spellEnd"/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1.3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Створення реєстру отриманих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проєктів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, їх оприлюднення на веб-сайті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Секретар Координаційної ради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загальний, контролю та роботи із зверненнями громадян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D75926" w:rsidRPr="001C71C2" w:rsidTr="006A67F3">
        <w:tc>
          <w:tcPr>
            <w:tcW w:w="9571" w:type="dxa"/>
            <w:gridSpan w:val="3"/>
            <w:vAlign w:val="center"/>
          </w:tcPr>
          <w:p w:rsidR="00D75926" w:rsidRPr="001C71C2" w:rsidRDefault="00D75926" w:rsidP="006A67F3">
            <w:pPr>
              <w:jc w:val="center"/>
              <w:rPr>
                <w:b/>
                <w:sz w:val="22"/>
                <w:szCs w:val="24"/>
                <w:lang w:val="uk-UA"/>
              </w:rPr>
            </w:pPr>
            <w:r w:rsidRPr="001C71C2">
              <w:rPr>
                <w:b/>
                <w:sz w:val="22"/>
                <w:szCs w:val="24"/>
              </w:rPr>
              <w:t xml:space="preserve">2. </w:t>
            </w:r>
            <w:proofErr w:type="spellStart"/>
            <w:r w:rsidRPr="001C71C2">
              <w:rPr>
                <w:b/>
                <w:sz w:val="22"/>
                <w:szCs w:val="24"/>
              </w:rPr>
              <w:t>Аналіз</w:t>
            </w:r>
            <w:proofErr w:type="spellEnd"/>
            <w:r w:rsidRPr="001C71C2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/>
                <w:sz w:val="22"/>
                <w:szCs w:val="24"/>
              </w:rPr>
              <w:t>пропозицій</w:t>
            </w:r>
            <w:proofErr w:type="spellEnd"/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2.1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proofErr w:type="gramStart"/>
            <w:r w:rsidRPr="001C71C2">
              <w:rPr>
                <w:sz w:val="22"/>
                <w:szCs w:val="24"/>
              </w:rPr>
              <w:t>Перев</w:t>
            </w:r>
            <w:proofErr w:type="gramEnd"/>
            <w:r w:rsidRPr="001C71C2">
              <w:rPr>
                <w:sz w:val="22"/>
                <w:szCs w:val="24"/>
              </w:rPr>
              <w:t>ірка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повноти</w:t>
            </w:r>
            <w:proofErr w:type="spellEnd"/>
            <w:r w:rsidRPr="001C71C2">
              <w:rPr>
                <w:sz w:val="22"/>
                <w:szCs w:val="24"/>
              </w:rPr>
              <w:t xml:space="preserve"> та </w:t>
            </w:r>
            <w:proofErr w:type="spellStart"/>
            <w:r w:rsidRPr="001C71C2">
              <w:rPr>
                <w:sz w:val="22"/>
                <w:szCs w:val="24"/>
              </w:rPr>
              <w:t>правильності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заповнення</w:t>
            </w:r>
            <w:proofErr w:type="spellEnd"/>
            <w:r w:rsidRPr="001C71C2">
              <w:rPr>
                <w:sz w:val="22"/>
                <w:szCs w:val="24"/>
              </w:rPr>
              <w:t xml:space="preserve"> бланку </w:t>
            </w:r>
            <w:proofErr w:type="spellStart"/>
            <w:r w:rsidRPr="001C71C2">
              <w:rPr>
                <w:sz w:val="22"/>
                <w:szCs w:val="24"/>
              </w:rPr>
              <w:t>пропозицій</w:t>
            </w:r>
            <w:proofErr w:type="spellEnd"/>
            <w:r w:rsidRPr="001C71C2">
              <w:rPr>
                <w:sz w:val="22"/>
                <w:szCs w:val="24"/>
              </w:rPr>
              <w:t xml:space="preserve"> (</w:t>
            </w:r>
            <w:proofErr w:type="spellStart"/>
            <w:r w:rsidRPr="001C71C2">
              <w:rPr>
                <w:sz w:val="22"/>
                <w:szCs w:val="24"/>
              </w:rPr>
              <w:t>проєкту</w:t>
            </w:r>
            <w:proofErr w:type="spellEnd"/>
            <w:r w:rsidRPr="001C71C2">
              <w:rPr>
                <w:sz w:val="22"/>
                <w:szCs w:val="24"/>
              </w:rPr>
              <w:t>)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Координаційної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ради по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впровадженню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r w:rsidRPr="001C71C2">
              <w:rPr>
                <w:bCs/>
                <w:kern w:val="32"/>
                <w:sz w:val="22"/>
                <w:szCs w:val="24"/>
              </w:rPr>
              <w:t xml:space="preserve">та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реалізації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бюджету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міської територіальної громади</w:t>
            </w:r>
            <w:r w:rsidRPr="001C71C2">
              <w:rPr>
                <w:sz w:val="22"/>
                <w:szCs w:val="24"/>
                <w:lang w:val="uk-UA"/>
              </w:rPr>
              <w:t xml:space="preserve">, 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 </w:t>
            </w: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загальний, контролю та роботи із зверненнями громадян</w:t>
            </w:r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2.2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Розміщення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відсканованих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</w:t>
            </w:r>
            <w:proofErr w:type="spellEnd"/>
            <w:r w:rsidRPr="001C71C2">
              <w:rPr>
                <w:sz w:val="22"/>
                <w:szCs w:val="24"/>
              </w:rPr>
              <w:t xml:space="preserve"> (за </w:t>
            </w:r>
            <w:proofErr w:type="spellStart"/>
            <w:r w:rsidRPr="001C71C2">
              <w:rPr>
                <w:sz w:val="22"/>
                <w:szCs w:val="24"/>
              </w:rPr>
              <w:t>винятком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інформації</w:t>
            </w:r>
            <w:proofErr w:type="spellEnd"/>
            <w:r w:rsidRPr="001C71C2">
              <w:rPr>
                <w:sz w:val="22"/>
                <w:szCs w:val="24"/>
              </w:rPr>
              <w:t xml:space="preserve"> про </w:t>
            </w:r>
            <w:proofErr w:type="spellStart"/>
            <w:r w:rsidRPr="001C71C2">
              <w:rPr>
                <w:sz w:val="22"/>
                <w:szCs w:val="24"/>
              </w:rPr>
              <w:t>персональні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дані</w:t>
            </w:r>
            <w:proofErr w:type="spellEnd"/>
            <w:r w:rsidRPr="001C71C2">
              <w:rPr>
                <w:sz w:val="22"/>
                <w:szCs w:val="24"/>
              </w:rPr>
              <w:t xml:space="preserve"> та на </w:t>
            </w:r>
            <w:proofErr w:type="spellStart"/>
            <w:r w:rsidRPr="001C71C2">
              <w:rPr>
                <w:sz w:val="22"/>
                <w:szCs w:val="24"/>
              </w:rPr>
              <w:t>розповсюдження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якої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автори</w:t>
            </w:r>
            <w:proofErr w:type="spellEnd"/>
            <w:r w:rsidRPr="001C71C2">
              <w:rPr>
                <w:sz w:val="22"/>
                <w:szCs w:val="24"/>
              </w:rPr>
              <w:t xml:space="preserve"> не дали </w:t>
            </w:r>
            <w:proofErr w:type="spellStart"/>
            <w:r w:rsidRPr="001C71C2">
              <w:rPr>
                <w:sz w:val="22"/>
                <w:szCs w:val="24"/>
              </w:rPr>
              <w:t>своєї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згоди</w:t>
            </w:r>
            <w:proofErr w:type="spellEnd"/>
            <w:r w:rsidRPr="001C71C2">
              <w:rPr>
                <w:sz w:val="22"/>
                <w:szCs w:val="24"/>
              </w:rPr>
              <w:t xml:space="preserve">) на </w:t>
            </w:r>
            <w:proofErr w:type="spellStart"/>
            <w:r w:rsidRPr="001C71C2">
              <w:rPr>
                <w:sz w:val="22"/>
                <w:szCs w:val="24"/>
              </w:rPr>
              <w:t>сайті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міської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gramStart"/>
            <w:r w:rsidRPr="001C71C2">
              <w:rPr>
                <w:sz w:val="22"/>
                <w:szCs w:val="24"/>
              </w:rPr>
              <w:t>ради</w:t>
            </w:r>
            <w:proofErr w:type="gram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2.3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</w:rPr>
              <w:t xml:space="preserve">Передача </w:t>
            </w:r>
            <w:proofErr w:type="spellStart"/>
            <w:r w:rsidRPr="001C71C2">
              <w:rPr>
                <w:sz w:val="22"/>
                <w:szCs w:val="24"/>
              </w:rPr>
              <w:t>відсканованих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перевірених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</w:t>
            </w:r>
            <w:proofErr w:type="spellEnd"/>
            <w:r w:rsidRPr="001C71C2">
              <w:rPr>
                <w:sz w:val="22"/>
                <w:szCs w:val="24"/>
              </w:rPr>
              <w:t xml:space="preserve"> та передача </w:t>
            </w:r>
            <w:proofErr w:type="spellStart"/>
            <w:r w:rsidRPr="001C71C2">
              <w:rPr>
                <w:sz w:val="22"/>
                <w:szCs w:val="24"/>
              </w:rPr>
              <w:t>їх</w:t>
            </w:r>
            <w:proofErr w:type="spellEnd"/>
            <w:r w:rsidRPr="001C71C2">
              <w:rPr>
                <w:sz w:val="22"/>
                <w:szCs w:val="24"/>
              </w:rPr>
              <w:t xml:space="preserve"> до </w:t>
            </w:r>
            <w:proofErr w:type="spellStart"/>
            <w:r w:rsidRPr="001C71C2">
              <w:rPr>
                <w:sz w:val="22"/>
                <w:szCs w:val="24"/>
              </w:rPr>
              <w:t>виконавчих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органів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міської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gramStart"/>
            <w:r w:rsidRPr="001C71C2">
              <w:rPr>
                <w:sz w:val="22"/>
                <w:szCs w:val="24"/>
              </w:rPr>
              <w:t>ради</w:t>
            </w:r>
            <w:proofErr w:type="gramEnd"/>
            <w:r w:rsidRPr="001C71C2">
              <w:rPr>
                <w:sz w:val="22"/>
                <w:szCs w:val="24"/>
              </w:rPr>
              <w:t xml:space="preserve">, до </w:t>
            </w:r>
            <w:proofErr w:type="spellStart"/>
            <w:r w:rsidRPr="001C71C2">
              <w:rPr>
                <w:sz w:val="22"/>
                <w:szCs w:val="24"/>
              </w:rPr>
              <w:t>повноважень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яких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відноситься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реалізація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</w:t>
            </w:r>
            <w:proofErr w:type="spell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загальний, контролю та роботи із зверненнями громадян</w:t>
            </w:r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2.4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Здійснення аналізу поданих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проєктів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, за результатами яких заповнюється звіт про аналіз відповідності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проєкту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законодавству та  можливостей його реалізації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економічного розвитку, промисловості, інфраструктури та торгівлі,</w:t>
            </w:r>
          </w:p>
          <w:p w:rsidR="00D75926" w:rsidRPr="001C71C2" w:rsidRDefault="00D75926" w:rsidP="006A67F3">
            <w:pPr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lastRenderedPageBreak/>
              <w:t xml:space="preserve"> Структурні підрозділи виконавчого комітету </w:t>
            </w:r>
            <w:proofErr w:type="spellStart"/>
            <w:r w:rsidRPr="001C71C2">
              <w:rPr>
                <w:rFonts w:eastAsia="Calibri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rFonts w:eastAsia="Calibri"/>
                <w:sz w:val="22"/>
                <w:szCs w:val="24"/>
                <w:lang w:val="uk-UA"/>
              </w:rPr>
              <w:t xml:space="preserve"> міської ради до компетенції яких відноситься реалізація відповідних проектів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lastRenderedPageBreak/>
              <w:t>2.5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Узагальнення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бланків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аналізу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пропозицій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створення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перелі</w:t>
            </w:r>
            <w:proofErr w:type="gramStart"/>
            <w:r w:rsidRPr="001C71C2">
              <w:rPr>
                <w:sz w:val="22"/>
                <w:szCs w:val="24"/>
              </w:rPr>
              <w:t>к</w:t>
            </w:r>
            <w:proofErr w:type="gramEnd"/>
            <w:r w:rsidRPr="001C71C2">
              <w:rPr>
                <w:sz w:val="22"/>
                <w:szCs w:val="24"/>
              </w:rPr>
              <w:t>ів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які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отримали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негативну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чи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позитивну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оцінки</w:t>
            </w:r>
            <w:proofErr w:type="spell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економічного розвитку, промисловості, інфраструктури та торгівлі.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2.6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Остаточне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визначення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які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допускаються</w:t>
            </w:r>
            <w:proofErr w:type="spellEnd"/>
            <w:r w:rsidRPr="001C71C2">
              <w:rPr>
                <w:sz w:val="22"/>
                <w:szCs w:val="24"/>
              </w:rPr>
              <w:t xml:space="preserve"> до </w:t>
            </w:r>
            <w:proofErr w:type="spellStart"/>
            <w:r w:rsidRPr="001C71C2">
              <w:rPr>
                <w:sz w:val="22"/>
                <w:szCs w:val="24"/>
              </w:rPr>
              <w:t>голосування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проведення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жеребкування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щодо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визначення</w:t>
            </w:r>
            <w:proofErr w:type="spellEnd"/>
            <w:r w:rsidRPr="001C71C2">
              <w:rPr>
                <w:sz w:val="22"/>
                <w:szCs w:val="24"/>
              </w:rPr>
              <w:t xml:space="preserve"> порядкового номера </w:t>
            </w:r>
            <w:proofErr w:type="spellStart"/>
            <w:r w:rsidRPr="001C71C2">
              <w:rPr>
                <w:sz w:val="22"/>
                <w:szCs w:val="24"/>
              </w:rPr>
              <w:t>проєкту</w:t>
            </w:r>
            <w:proofErr w:type="spellEnd"/>
            <w:r w:rsidRPr="001C71C2">
              <w:rPr>
                <w:sz w:val="22"/>
                <w:szCs w:val="24"/>
              </w:rPr>
              <w:t xml:space="preserve"> у </w:t>
            </w:r>
            <w:proofErr w:type="spellStart"/>
            <w:r w:rsidRPr="001C71C2">
              <w:rPr>
                <w:sz w:val="22"/>
                <w:szCs w:val="24"/>
              </w:rPr>
              <w:t>переліку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</w:t>
            </w:r>
            <w:proofErr w:type="gramStart"/>
            <w:r w:rsidRPr="001C71C2">
              <w:rPr>
                <w:sz w:val="22"/>
                <w:szCs w:val="24"/>
              </w:rPr>
              <w:t>в</w:t>
            </w:r>
            <w:proofErr w:type="spellEnd"/>
            <w:proofErr w:type="gram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які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допускаються</w:t>
            </w:r>
            <w:proofErr w:type="spellEnd"/>
            <w:r w:rsidRPr="001C71C2">
              <w:rPr>
                <w:sz w:val="22"/>
                <w:szCs w:val="24"/>
              </w:rPr>
              <w:t xml:space="preserve"> до </w:t>
            </w:r>
            <w:proofErr w:type="spellStart"/>
            <w:r w:rsidRPr="001C71C2">
              <w:rPr>
                <w:sz w:val="22"/>
                <w:szCs w:val="24"/>
              </w:rPr>
              <w:t>голосування</w:t>
            </w:r>
            <w:proofErr w:type="spell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Координаційної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ради по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впровадженню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r w:rsidRPr="001C71C2">
              <w:rPr>
                <w:bCs/>
                <w:kern w:val="32"/>
                <w:sz w:val="22"/>
                <w:szCs w:val="24"/>
              </w:rPr>
              <w:t xml:space="preserve">та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реалізації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бюджету</w:t>
            </w:r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міської територіальної громади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2.7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Оприлюднення на сайті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міської ради: переліку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проєктів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, які допускаються до голосування; переліку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проєктів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>, які отримали негативну оцінку (із обґрунтуванням відмови)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D75926" w:rsidRPr="001C71C2" w:rsidTr="006A67F3">
        <w:tc>
          <w:tcPr>
            <w:tcW w:w="9571" w:type="dxa"/>
            <w:gridSpan w:val="3"/>
            <w:vAlign w:val="center"/>
          </w:tcPr>
          <w:p w:rsidR="00D75926" w:rsidRPr="001C71C2" w:rsidRDefault="00D75926" w:rsidP="006A67F3">
            <w:pPr>
              <w:jc w:val="center"/>
              <w:rPr>
                <w:b/>
                <w:sz w:val="22"/>
                <w:szCs w:val="24"/>
                <w:lang w:val="uk-UA"/>
              </w:rPr>
            </w:pPr>
            <w:r w:rsidRPr="001C71C2">
              <w:rPr>
                <w:b/>
                <w:sz w:val="22"/>
                <w:szCs w:val="24"/>
              </w:rPr>
              <w:t xml:space="preserve">3. </w:t>
            </w:r>
            <w:proofErr w:type="spellStart"/>
            <w:r w:rsidRPr="001C71C2">
              <w:rPr>
                <w:b/>
                <w:sz w:val="22"/>
                <w:szCs w:val="24"/>
              </w:rPr>
              <w:t>Визначення</w:t>
            </w:r>
            <w:proofErr w:type="spellEnd"/>
            <w:r w:rsidRPr="001C71C2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/>
                <w:sz w:val="22"/>
                <w:szCs w:val="24"/>
              </w:rPr>
              <w:t>проєктів-переможці</w:t>
            </w:r>
            <w:proofErr w:type="gramStart"/>
            <w:r w:rsidRPr="001C71C2">
              <w:rPr>
                <w:b/>
                <w:sz w:val="22"/>
                <w:szCs w:val="24"/>
              </w:rPr>
              <w:t>в</w:t>
            </w:r>
            <w:proofErr w:type="spellEnd"/>
            <w:proofErr w:type="gramEnd"/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3.1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Забезпечення можливості в</w:t>
            </w:r>
            <w:proofErr w:type="spellStart"/>
            <w:r w:rsidRPr="001C71C2">
              <w:rPr>
                <w:sz w:val="22"/>
                <w:szCs w:val="24"/>
              </w:rPr>
              <w:t>изначення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громадської</w:t>
            </w:r>
            <w:proofErr w:type="spellEnd"/>
            <w:r w:rsidRPr="001C71C2">
              <w:rPr>
                <w:sz w:val="22"/>
                <w:szCs w:val="24"/>
              </w:rPr>
              <w:t xml:space="preserve"> думки шляхом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онлайн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голосування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на </w:t>
            </w:r>
            <w:r w:rsidRPr="001C71C2">
              <w:rPr>
                <w:rFonts w:eastAsia="Calibri"/>
                <w:color w:val="000000"/>
                <w:sz w:val="22"/>
                <w:szCs w:val="24"/>
                <w:lang w:val="uk-UA"/>
              </w:rPr>
              <w:t>Е-сервіс «Громадський бюджет»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3.2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Визначення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громадської</w:t>
            </w:r>
            <w:proofErr w:type="spellEnd"/>
            <w:r w:rsidRPr="001C71C2">
              <w:rPr>
                <w:sz w:val="22"/>
                <w:szCs w:val="24"/>
              </w:rPr>
              <w:t xml:space="preserve"> думки шляхом </w:t>
            </w:r>
            <w:proofErr w:type="spellStart"/>
            <w:r w:rsidRPr="001C71C2">
              <w:rPr>
                <w:sz w:val="22"/>
                <w:szCs w:val="24"/>
              </w:rPr>
              <w:t>голосування</w:t>
            </w:r>
            <w:proofErr w:type="spellEnd"/>
            <w:r w:rsidRPr="001C71C2">
              <w:rPr>
                <w:sz w:val="22"/>
                <w:szCs w:val="24"/>
              </w:rPr>
              <w:t xml:space="preserve"> за формою бланку для </w:t>
            </w:r>
            <w:proofErr w:type="spellStart"/>
            <w:r w:rsidRPr="001C71C2">
              <w:rPr>
                <w:sz w:val="22"/>
                <w:szCs w:val="24"/>
              </w:rPr>
              <w:t>голосування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який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визначений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Положенням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на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веб-порталі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«Громадський бюджет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Громадяни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України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які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зареєстровані</w:t>
            </w:r>
            <w:proofErr w:type="spellEnd"/>
            <w:r w:rsidRPr="001C71C2">
              <w:rPr>
                <w:sz w:val="22"/>
                <w:szCs w:val="24"/>
              </w:rPr>
              <w:t xml:space="preserve"> та </w:t>
            </w:r>
            <w:proofErr w:type="spellStart"/>
            <w:r w:rsidRPr="001C71C2">
              <w:rPr>
                <w:sz w:val="22"/>
                <w:szCs w:val="24"/>
              </w:rPr>
              <w:t>проживають</w:t>
            </w:r>
            <w:proofErr w:type="spellEnd"/>
            <w:r w:rsidRPr="001C71C2">
              <w:rPr>
                <w:sz w:val="22"/>
                <w:szCs w:val="24"/>
              </w:rPr>
              <w:t xml:space="preserve"> на </w:t>
            </w:r>
            <w:proofErr w:type="spellStart"/>
            <w:r w:rsidRPr="001C71C2">
              <w:rPr>
                <w:sz w:val="22"/>
                <w:szCs w:val="24"/>
              </w:rPr>
              <w:t>території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міської територіальної громади,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3.3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Підрахунок голосів відповідно до отриманих заповнених бланків для голосування та інформації з </w:t>
            </w:r>
            <w:r w:rsidRPr="001C71C2">
              <w:rPr>
                <w:rFonts w:eastAsia="Calibri"/>
                <w:color w:val="000000"/>
                <w:sz w:val="22"/>
                <w:szCs w:val="24"/>
                <w:lang w:val="uk-UA"/>
              </w:rPr>
              <w:t>Е-сервіс «Громадський бюджет»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Координаційн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рад</w:t>
            </w:r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по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впровадженню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r w:rsidRPr="001C71C2">
              <w:rPr>
                <w:bCs/>
                <w:kern w:val="32"/>
                <w:sz w:val="22"/>
                <w:szCs w:val="24"/>
              </w:rPr>
              <w:t xml:space="preserve">та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реалізації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бюджету</w:t>
            </w:r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міської територіальної громади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3.4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Встановлення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proofErr w:type="gramStart"/>
            <w:r w:rsidRPr="001C71C2">
              <w:rPr>
                <w:sz w:val="22"/>
                <w:szCs w:val="24"/>
              </w:rPr>
              <w:t>п</w:t>
            </w:r>
            <w:proofErr w:type="gramEnd"/>
            <w:r w:rsidRPr="001C71C2">
              <w:rPr>
                <w:sz w:val="22"/>
                <w:szCs w:val="24"/>
              </w:rPr>
              <w:t>ідсумків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голосування</w:t>
            </w:r>
            <w:proofErr w:type="spellEnd"/>
            <w:r w:rsidRPr="001C71C2">
              <w:rPr>
                <w:sz w:val="22"/>
                <w:szCs w:val="24"/>
              </w:rPr>
              <w:t xml:space="preserve"> та </w:t>
            </w:r>
            <w:proofErr w:type="spellStart"/>
            <w:r w:rsidRPr="001C71C2">
              <w:rPr>
                <w:sz w:val="22"/>
                <w:szCs w:val="24"/>
              </w:rPr>
              <w:t>визначення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проєктів-переможців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які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будуть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фінансуватися</w:t>
            </w:r>
            <w:proofErr w:type="spellEnd"/>
            <w:r w:rsidRPr="001C71C2">
              <w:rPr>
                <w:sz w:val="22"/>
                <w:szCs w:val="24"/>
              </w:rPr>
              <w:t xml:space="preserve"> в рамках </w:t>
            </w:r>
            <w:proofErr w:type="spellStart"/>
            <w:r w:rsidRPr="001C71C2">
              <w:rPr>
                <w:sz w:val="22"/>
                <w:szCs w:val="24"/>
              </w:rPr>
              <w:t>Програми</w:t>
            </w:r>
            <w:proofErr w:type="spell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Координаційн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рад</w:t>
            </w:r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по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впровадженню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r w:rsidRPr="001C71C2">
              <w:rPr>
                <w:bCs/>
                <w:kern w:val="32"/>
                <w:sz w:val="22"/>
                <w:szCs w:val="24"/>
              </w:rPr>
              <w:t xml:space="preserve">та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реалізації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бюджету</w:t>
            </w:r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міської територіальної громади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3.5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Формування</w:t>
            </w:r>
            <w:proofErr w:type="spellEnd"/>
            <w:r w:rsidRPr="001C71C2">
              <w:rPr>
                <w:sz w:val="22"/>
                <w:szCs w:val="24"/>
              </w:rPr>
              <w:t xml:space="preserve"> рейтингу </w:t>
            </w:r>
            <w:proofErr w:type="spellStart"/>
            <w:r w:rsidRPr="001C71C2">
              <w:rPr>
                <w:sz w:val="22"/>
                <w:szCs w:val="24"/>
              </w:rPr>
              <w:t>проєкті</w:t>
            </w:r>
            <w:proofErr w:type="gramStart"/>
            <w:r w:rsidRPr="001C71C2">
              <w:rPr>
                <w:sz w:val="22"/>
                <w:szCs w:val="24"/>
              </w:rPr>
              <w:t>в</w:t>
            </w:r>
            <w:proofErr w:type="spellEnd"/>
            <w:proofErr w:type="gramEnd"/>
            <w:r w:rsidRPr="001C71C2">
              <w:rPr>
                <w:sz w:val="22"/>
                <w:szCs w:val="24"/>
              </w:rPr>
              <w:t xml:space="preserve"> та </w:t>
            </w:r>
            <w:proofErr w:type="spellStart"/>
            <w:r w:rsidRPr="001C71C2">
              <w:rPr>
                <w:sz w:val="22"/>
                <w:szCs w:val="24"/>
              </w:rPr>
              <w:t>визначання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переліку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рекомендованих</w:t>
            </w:r>
            <w:proofErr w:type="spellEnd"/>
            <w:r w:rsidRPr="001C71C2">
              <w:rPr>
                <w:sz w:val="22"/>
                <w:szCs w:val="24"/>
              </w:rPr>
              <w:t xml:space="preserve"> до </w:t>
            </w:r>
            <w:proofErr w:type="spellStart"/>
            <w:r w:rsidRPr="001C71C2">
              <w:rPr>
                <w:sz w:val="22"/>
                <w:szCs w:val="24"/>
              </w:rPr>
              <w:t>фінансування</w:t>
            </w:r>
            <w:proofErr w:type="spellEnd"/>
            <w:r w:rsidRPr="001C71C2">
              <w:rPr>
                <w:sz w:val="22"/>
                <w:szCs w:val="24"/>
              </w:rPr>
              <w:t xml:space="preserve"> за </w:t>
            </w:r>
            <w:proofErr w:type="spellStart"/>
            <w:r w:rsidRPr="001C71C2">
              <w:rPr>
                <w:sz w:val="22"/>
                <w:szCs w:val="24"/>
              </w:rPr>
              <w:t>кошти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sz w:val="22"/>
                <w:szCs w:val="24"/>
              </w:rPr>
              <w:t xml:space="preserve"> бюджету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Координаційн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рад</w:t>
            </w:r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а</w:t>
            </w:r>
            <w:r w:rsidRPr="001C71C2">
              <w:rPr>
                <w:bCs/>
                <w:kern w:val="32"/>
                <w:sz w:val="22"/>
                <w:szCs w:val="24"/>
              </w:rPr>
              <w:t xml:space="preserve"> по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впровадженню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r w:rsidRPr="001C71C2">
              <w:rPr>
                <w:bCs/>
                <w:kern w:val="32"/>
                <w:sz w:val="22"/>
                <w:szCs w:val="24"/>
              </w:rPr>
              <w:t xml:space="preserve">та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реалізації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бюджету</w:t>
            </w:r>
          </w:p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міської територіальної громади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3.6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Оприлюднення</w:t>
            </w:r>
            <w:proofErr w:type="spellEnd"/>
            <w:r w:rsidRPr="001C71C2">
              <w:rPr>
                <w:sz w:val="22"/>
                <w:szCs w:val="24"/>
              </w:rPr>
              <w:t xml:space="preserve"> рейтингу та </w:t>
            </w:r>
            <w:proofErr w:type="spellStart"/>
            <w:r w:rsidRPr="001C71C2">
              <w:rPr>
                <w:sz w:val="22"/>
                <w:szCs w:val="24"/>
              </w:rPr>
              <w:t>переліку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</w:t>
            </w:r>
            <w:proofErr w:type="gramStart"/>
            <w:r w:rsidRPr="001C71C2">
              <w:rPr>
                <w:sz w:val="22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Відділ інформаційної </w:t>
            </w:r>
            <w:r w:rsidRPr="001C71C2">
              <w:rPr>
                <w:sz w:val="22"/>
                <w:szCs w:val="24"/>
                <w:lang w:val="uk-UA"/>
              </w:rPr>
              <w:lastRenderedPageBreak/>
              <w:t xml:space="preserve">діяльності та комунікацій з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громадськкістю</w:t>
            </w:r>
            <w:proofErr w:type="spellEnd"/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lastRenderedPageBreak/>
              <w:t>3.7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bCs/>
                <w:kern w:val="32"/>
                <w:sz w:val="22"/>
                <w:szCs w:val="24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За результатами підрахунку голосів на підставі протоколу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Координаційної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ради по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впровадженню</w:t>
            </w:r>
            <w:proofErr w:type="spellEnd"/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bCs/>
                <w:kern w:val="32"/>
                <w:sz w:val="22"/>
                <w:szCs w:val="24"/>
              </w:rPr>
              <w:t xml:space="preserve">та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реалізації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</w:rPr>
              <w:t>Громадського</w:t>
            </w:r>
            <w:proofErr w:type="spellEnd"/>
            <w:r w:rsidRPr="001C71C2">
              <w:rPr>
                <w:bCs/>
                <w:kern w:val="32"/>
                <w:sz w:val="22"/>
                <w:szCs w:val="24"/>
              </w:rPr>
              <w:t xml:space="preserve"> бюджету </w:t>
            </w:r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</w:t>
            </w:r>
            <w:proofErr w:type="spellStart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bCs/>
                <w:kern w:val="32"/>
                <w:sz w:val="22"/>
                <w:szCs w:val="24"/>
                <w:lang w:val="uk-UA"/>
              </w:rPr>
              <w:t xml:space="preserve"> міської територіальної громади </w:t>
            </w:r>
            <w:r w:rsidRPr="001C71C2">
              <w:rPr>
                <w:sz w:val="22"/>
                <w:szCs w:val="24"/>
                <w:lang w:val="uk-UA"/>
              </w:rPr>
              <w:t xml:space="preserve">з визначення переможців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проєктів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громадського бюджету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міської територіальної громади, вноситься міській раді на затвердження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</w:t>
            </w:r>
            <w:proofErr w:type="gramStart"/>
            <w:r w:rsidRPr="001C71C2">
              <w:rPr>
                <w:sz w:val="22"/>
                <w:szCs w:val="24"/>
                <w:lang w:val="uk-UA"/>
              </w:rPr>
              <w:t>р</w:t>
            </w:r>
            <w:proofErr w:type="gramEnd"/>
            <w:r w:rsidRPr="001C71C2">
              <w:rPr>
                <w:sz w:val="22"/>
                <w:szCs w:val="24"/>
                <w:lang w:val="uk-UA"/>
              </w:rPr>
              <w:t xml:space="preserve">ішення з переліком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проєктів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>, які пропонуються до фінансування, та розподілом коштів громадського бюджету між головними розпорядниками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rFonts w:eastAsia="Calibri"/>
                <w:sz w:val="22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  <w:r w:rsidRPr="001C71C2">
              <w:rPr>
                <w:sz w:val="22"/>
                <w:szCs w:val="24"/>
                <w:lang w:val="uk-UA"/>
              </w:rPr>
              <w:t>,</w:t>
            </w:r>
          </w:p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Фінансове управління</w:t>
            </w:r>
          </w:p>
        </w:tc>
      </w:tr>
      <w:tr w:rsidR="00D75926" w:rsidRPr="001C71C2" w:rsidTr="006A67F3">
        <w:tc>
          <w:tcPr>
            <w:tcW w:w="9571" w:type="dxa"/>
            <w:gridSpan w:val="3"/>
            <w:vAlign w:val="center"/>
          </w:tcPr>
          <w:p w:rsidR="00D75926" w:rsidRPr="001C71C2" w:rsidRDefault="00D75926" w:rsidP="006A67F3">
            <w:pPr>
              <w:jc w:val="center"/>
              <w:rPr>
                <w:b/>
                <w:sz w:val="22"/>
                <w:szCs w:val="24"/>
                <w:lang w:val="uk-UA"/>
              </w:rPr>
            </w:pPr>
            <w:r w:rsidRPr="001C71C2">
              <w:rPr>
                <w:b/>
                <w:sz w:val="22"/>
                <w:szCs w:val="24"/>
              </w:rPr>
              <w:t xml:space="preserve">4. </w:t>
            </w:r>
            <w:proofErr w:type="spellStart"/>
            <w:r w:rsidRPr="001C71C2">
              <w:rPr>
                <w:b/>
                <w:sz w:val="22"/>
                <w:szCs w:val="24"/>
              </w:rPr>
              <w:t>Реалізація</w:t>
            </w:r>
            <w:proofErr w:type="spellEnd"/>
            <w:r w:rsidRPr="001C71C2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b/>
                <w:sz w:val="22"/>
                <w:szCs w:val="24"/>
              </w:rPr>
              <w:t>проєктів-переможці</w:t>
            </w:r>
            <w:proofErr w:type="gramStart"/>
            <w:r w:rsidRPr="001C71C2">
              <w:rPr>
                <w:b/>
                <w:sz w:val="22"/>
                <w:szCs w:val="24"/>
              </w:rPr>
              <w:t>в</w:t>
            </w:r>
            <w:proofErr w:type="spellEnd"/>
            <w:proofErr w:type="gramEnd"/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4.1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Виконання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проєктів</w:t>
            </w:r>
            <w:proofErr w:type="spellEnd"/>
            <w:r w:rsidRPr="001C71C2">
              <w:rPr>
                <w:sz w:val="22"/>
                <w:szCs w:val="24"/>
              </w:rPr>
              <w:t xml:space="preserve"> - </w:t>
            </w:r>
            <w:proofErr w:type="spellStart"/>
            <w:r w:rsidRPr="001C71C2">
              <w:rPr>
                <w:sz w:val="22"/>
                <w:szCs w:val="24"/>
              </w:rPr>
              <w:t>переможці</w:t>
            </w:r>
            <w:proofErr w:type="gramStart"/>
            <w:r w:rsidRPr="001C71C2">
              <w:rPr>
                <w:sz w:val="22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Головні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розпорядники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бюджетних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коштів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комунальні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proofErr w:type="gramStart"/>
            <w:r w:rsidRPr="001C71C2">
              <w:rPr>
                <w:sz w:val="22"/>
                <w:szCs w:val="24"/>
              </w:rPr>
              <w:t>п</w:t>
            </w:r>
            <w:proofErr w:type="gramEnd"/>
            <w:r w:rsidRPr="001C71C2">
              <w:rPr>
                <w:sz w:val="22"/>
                <w:szCs w:val="24"/>
              </w:rPr>
              <w:t>ідприємства</w:t>
            </w:r>
            <w:proofErr w:type="spellEnd"/>
            <w:r w:rsidRPr="001C71C2">
              <w:rPr>
                <w:sz w:val="22"/>
                <w:szCs w:val="24"/>
              </w:rPr>
              <w:t xml:space="preserve">, установи та </w:t>
            </w:r>
            <w:proofErr w:type="spellStart"/>
            <w:r w:rsidRPr="001C71C2">
              <w:rPr>
                <w:sz w:val="22"/>
                <w:szCs w:val="24"/>
              </w:rPr>
              <w:t>організації</w:t>
            </w:r>
            <w:proofErr w:type="spellEnd"/>
          </w:p>
        </w:tc>
      </w:tr>
      <w:tr w:rsidR="00D75926" w:rsidRPr="001C71C2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4.2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Офіційне подання головними розпорядниками бюджетних коштів, комунальними підприємствами, установами та організаціями до в</w:t>
            </w:r>
            <w:r w:rsidRPr="001C71C2">
              <w:rPr>
                <w:rFonts w:eastAsia="Calibri"/>
                <w:sz w:val="22"/>
                <w:szCs w:val="24"/>
                <w:lang w:val="uk-UA"/>
              </w:rPr>
              <w:t>ідділу економічного розвитку, промисловості, інфраструктури та торгівлі</w:t>
            </w:r>
            <w:r w:rsidRPr="001C71C2">
              <w:rPr>
                <w:sz w:val="22"/>
                <w:szCs w:val="24"/>
                <w:lang w:val="uk-UA"/>
              </w:rPr>
              <w:t xml:space="preserve"> звітів про виконані роботи, а також, за можливості, фото виконаного об’єкта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1C71C2">
              <w:rPr>
                <w:sz w:val="22"/>
                <w:szCs w:val="24"/>
              </w:rPr>
              <w:t>Головні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розпорядники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бюджетних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r w:rsidRPr="001C71C2">
              <w:rPr>
                <w:sz w:val="22"/>
                <w:szCs w:val="24"/>
              </w:rPr>
              <w:t>коштів</w:t>
            </w:r>
            <w:proofErr w:type="spellEnd"/>
            <w:r w:rsidRPr="001C71C2">
              <w:rPr>
                <w:sz w:val="22"/>
                <w:szCs w:val="24"/>
              </w:rPr>
              <w:t xml:space="preserve">, </w:t>
            </w:r>
            <w:proofErr w:type="spellStart"/>
            <w:r w:rsidRPr="001C71C2">
              <w:rPr>
                <w:sz w:val="22"/>
                <w:szCs w:val="24"/>
              </w:rPr>
              <w:t>комунальні</w:t>
            </w:r>
            <w:proofErr w:type="spellEnd"/>
            <w:r w:rsidRPr="001C71C2">
              <w:rPr>
                <w:sz w:val="22"/>
                <w:szCs w:val="24"/>
              </w:rPr>
              <w:t xml:space="preserve"> </w:t>
            </w:r>
            <w:proofErr w:type="spellStart"/>
            <w:proofErr w:type="gramStart"/>
            <w:r w:rsidRPr="001C71C2">
              <w:rPr>
                <w:sz w:val="22"/>
                <w:szCs w:val="24"/>
              </w:rPr>
              <w:t>п</w:t>
            </w:r>
            <w:proofErr w:type="gramEnd"/>
            <w:r w:rsidRPr="001C71C2">
              <w:rPr>
                <w:sz w:val="22"/>
                <w:szCs w:val="24"/>
              </w:rPr>
              <w:t>ідприємства</w:t>
            </w:r>
            <w:proofErr w:type="spellEnd"/>
            <w:r w:rsidRPr="001C71C2">
              <w:rPr>
                <w:sz w:val="22"/>
                <w:szCs w:val="24"/>
              </w:rPr>
              <w:t xml:space="preserve">, установи та </w:t>
            </w:r>
            <w:proofErr w:type="spellStart"/>
            <w:r w:rsidRPr="001C71C2">
              <w:rPr>
                <w:sz w:val="22"/>
                <w:szCs w:val="24"/>
              </w:rPr>
              <w:t>організації</w:t>
            </w:r>
            <w:proofErr w:type="spellEnd"/>
          </w:p>
        </w:tc>
      </w:tr>
      <w:tr w:rsidR="00D75926" w:rsidRPr="000109E5" w:rsidTr="006A67F3">
        <w:tc>
          <w:tcPr>
            <w:tcW w:w="67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4.3</w:t>
            </w:r>
          </w:p>
        </w:tc>
        <w:tc>
          <w:tcPr>
            <w:tcW w:w="5705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 xml:space="preserve">Розміщення узагальненого звіту на офіційному сайті </w:t>
            </w:r>
            <w:proofErr w:type="spellStart"/>
            <w:r w:rsidRPr="001C71C2">
              <w:rPr>
                <w:sz w:val="22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2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3191" w:type="dxa"/>
            <w:vAlign w:val="center"/>
          </w:tcPr>
          <w:p w:rsidR="00D75926" w:rsidRPr="001C71C2" w:rsidRDefault="00D75926" w:rsidP="006A67F3">
            <w:pPr>
              <w:jc w:val="center"/>
              <w:rPr>
                <w:sz w:val="22"/>
                <w:szCs w:val="24"/>
                <w:lang w:val="uk-UA"/>
              </w:rPr>
            </w:pPr>
            <w:r w:rsidRPr="001C71C2">
              <w:rPr>
                <w:sz w:val="22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</w:tbl>
    <w:p w:rsidR="00D75926" w:rsidRPr="001C71C2" w:rsidRDefault="00D75926" w:rsidP="00D75926">
      <w:pPr>
        <w:jc w:val="center"/>
        <w:rPr>
          <w:sz w:val="22"/>
          <w:szCs w:val="24"/>
          <w:lang w:val="uk-UA"/>
        </w:rPr>
      </w:pPr>
    </w:p>
    <w:p w:rsidR="00D75926" w:rsidRPr="001C71C2" w:rsidRDefault="00D75926" w:rsidP="00D75926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1C2">
        <w:rPr>
          <w:rFonts w:ascii="Times New Roman" w:hAnsi="Times New Roman"/>
          <w:b/>
          <w:sz w:val="24"/>
          <w:szCs w:val="24"/>
        </w:rPr>
        <w:t xml:space="preserve">Обсяги та джерела фінансування Програми </w:t>
      </w:r>
    </w:p>
    <w:p w:rsidR="00D75926" w:rsidRPr="001C71C2" w:rsidRDefault="00D75926" w:rsidP="00D75926">
      <w:pPr>
        <w:ind w:firstLine="360"/>
        <w:rPr>
          <w:sz w:val="24"/>
          <w:szCs w:val="24"/>
          <w:lang w:val="uk-UA"/>
        </w:rPr>
      </w:pPr>
      <w:proofErr w:type="spellStart"/>
      <w:r w:rsidRPr="001C71C2">
        <w:rPr>
          <w:sz w:val="24"/>
          <w:szCs w:val="24"/>
        </w:rPr>
        <w:t>Фінансування</w:t>
      </w:r>
      <w:proofErr w:type="spellEnd"/>
      <w:r w:rsidRPr="001C71C2">
        <w:rPr>
          <w:sz w:val="24"/>
          <w:szCs w:val="24"/>
        </w:rPr>
        <w:t xml:space="preserve"> </w:t>
      </w:r>
      <w:proofErr w:type="spellStart"/>
      <w:r w:rsidRPr="001C71C2">
        <w:rPr>
          <w:sz w:val="24"/>
          <w:szCs w:val="24"/>
        </w:rPr>
        <w:t>Програми</w:t>
      </w:r>
      <w:proofErr w:type="spellEnd"/>
      <w:r w:rsidRPr="001C71C2">
        <w:rPr>
          <w:sz w:val="24"/>
          <w:szCs w:val="24"/>
        </w:rPr>
        <w:t xml:space="preserve"> </w:t>
      </w:r>
      <w:proofErr w:type="spellStart"/>
      <w:r w:rsidRPr="001C71C2">
        <w:rPr>
          <w:sz w:val="24"/>
          <w:szCs w:val="24"/>
        </w:rPr>
        <w:t>здійснюється</w:t>
      </w:r>
      <w:proofErr w:type="spellEnd"/>
      <w:r w:rsidRPr="001C71C2">
        <w:rPr>
          <w:sz w:val="24"/>
          <w:szCs w:val="24"/>
        </w:rPr>
        <w:t xml:space="preserve"> за </w:t>
      </w:r>
      <w:proofErr w:type="spellStart"/>
      <w:r w:rsidRPr="001C71C2">
        <w:rPr>
          <w:sz w:val="24"/>
          <w:szCs w:val="24"/>
        </w:rPr>
        <w:t>рахунок</w:t>
      </w:r>
      <w:proofErr w:type="spellEnd"/>
      <w:r w:rsidRPr="001C71C2">
        <w:rPr>
          <w:sz w:val="24"/>
          <w:szCs w:val="24"/>
        </w:rPr>
        <w:t xml:space="preserve"> </w:t>
      </w:r>
      <w:proofErr w:type="spellStart"/>
      <w:r w:rsidRPr="001C71C2">
        <w:rPr>
          <w:sz w:val="24"/>
          <w:szCs w:val="24"/>
        </w:rPr>
        <w:t>коштів</w:t>
      </w:r>
      <w:proofErr w:type="spellEnd"/>
      <w:r w:rsidRPr="001C71C2">
        <w:rPr>
          <w:sz w:val="24"/>
          <w:szCs w:val="24"/>
        </w:rPr>
        <w:t xml:space="preserve"> </w:t>
      </w:r>
      <w:proofErr w:type="spellStart"/>
      <w:r w:rsidRPr="001C71C2">
        <w:rPr>
          <w:sz w:val="24"/>
          <w:szCs w:val="24"/>
        </w:rPr>
        <w:t>міського</w:t>
      </w:r>
      <w:proofErr w:type="spellEnd"/>
      <w:r w:rsidRPr="001C71C2">
        <w:rPr>
          <w:sz w:val="24"/>
          <w:szCs w:val="24"/>
        </w:rPr>
        <w:t xml:space="preserve"> бюджету та </w:t>
      </w:r>
      <w:proofErr w:type="spellStart"/>
      <w:r w:rsidRPr="001C71C2">
        <w:rPr>
          <w:sz w:val="24"/>
          <w:szCs w:val="24"/>
        </w:rPr>
        <w:t>інших</w:t>
      </w:r>
      <w:proofErr w:type="spellEnd"/>
      <w:r w:rsidRPr="001C71C2">
        <w:rPr>
          <w:sz w:val="24"/>
          <w:szCs w:val="24"/>
        </w:rPr>
        <w:t xml:space="preserve"> </w:t>
      </w:r>
      <w:proofErr w:type="spellStart"/>
      <w:r w:rsidRPr="001C71C2">
        <w:rPr>
          <w:sz w:val="24"/>
          <w:szCs w:val="24"/>
        </w:rPr>
        <w:t>джерел</w:t>
      </w:r>
      <w:proofErr w:type="spellEnd"/>
      <w:r w:rsidRPr="001C71C2">
        <w:rPr>
          <w:sz w:val="24"/>
          <w:szCs w:val="24"/>
        </w:rPr>
        <w:t xml:space="preserve">, не </w:t>
      </w:r>
      <w:proofErr w:type="spellStart"/>
      <w:r w:rsidRPr="001C71C2">
        <w:rPr>
          <w:sz w:val="24"/>
          <w:szCs w:val="24"/>
        </w:rPr>
        <w:t>заборонених</w:t>
      </w:r>
      <w:proofErr w:type="spellEnd"/>
      <w:r w:rsidRPr="001C71C2">
        <w:rPr>
          <w:sz w:val="24"/>
          <w:szCs w:val="24"/>
        </w:rPr>
        <w:t xml:space="preserve"> </w:t>
      </w:r>
      <w:proofErr w:type="spellStart"/>
      <w:r w:rsidRPr="001C71C2">
        <w:rPr>
          <w:sz w:val="24"/>
          <w:szCs w:val="24"/>
        </w:rPr>
        <w:t>законодавством</w:t>
      </w:r>
      <w:proofErr w:type="spellEnd"/>
    </w:p>
    <w:p w:rsidR="00D75926" w:rsidRPr="001C71C2" w:rsidRDefault="00D75926" w:rsidP="00D75926">
      <w:pPr>
        <w:jc w:val="center"/>
        <w:rPr>
          <w:b/>
          <w:sz w:val="24"/>
          <w:szCs w:val="24"/>
          <w:lang w:val="uk-UA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1842"/>
        <w:gridCol w:w="4536"/>
      </w:tblGrid>
      <w:tr w:rsidR="00D75926" w:rsidRPr="001C71C2" w:rsidTr="006A67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</w:rPr>
            </w:pPr>
            <w:r w:rsidRPr="001C71C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C71C2">
              <w:rPr>
                <w:b/>
                <w:sz w:val="24"/>
                <w:szCs w:val="24"/>
              </w:rPr>
              <w:t>п</w:t>
            </w:r>
            <w:proofErr w:type="gramEnd"/>
            <w:r w:rsidRPr="001C71C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C71C2">
              <w:rPr>
                <w:b/>
                <w:sz w:val="24"/>
                <w:szCs w:val="24"/>
              </w:rPr>
              <w:t>Напрями</w:t>
            </w:r>
            <w:proofErr w:type="spellEnd"/>
            <w:r w:rsidRPr="001C71C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1C2">
              <w:rPr>
                <w:b/>
                <w:sz w:val="24"/>
                <w:szCs w:val="24"/>
              </w:rPr>
              <w:t>використання</w:t>
            </w:r>
            <w:proofErr w:type="spellEnd"/>
            <w:r w:rsidRPr="001C71C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71C2">
              <w:rPr>
                <w:b/>
                <w:sz w:val="24"/>
                <w:szCs w:val="24"/>
              </w:rPr>
              <w:t>кошті</w:t>
            </w:r>
            <w:proofErr w:type="gramStart"/>
            <w:r w:rsidRPr="001C71C2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C71C2"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C71C2">
              <w:rPr>
                <w:b/>
                <w:sz w:val="24"/>
                <w:szCs w:val="24"/>
                <w:lang w:val="uk-UA"/>
              </w:rPr>
              <w:t>2021 – 2025 рік</w:t>
            </w:r>
          </w:p>
        </w:tc>
      </w:tr>
      <w:tr w:rsidR="00D75926" w:rsidRPr="001C71C2" w:rsidTr="006A67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sz w:val="24"/>
                <w:szCs w:val="24"/>
              </w:rPr>
            </w:pPr>
            <w:r w:rsidRPr="001C71C2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sz w:val="24"/>
                <w:szCs w:val="24"/>
                <w:lang w:val="uk-UA"/>
              </w:rPr>
            </w:pPr>
            <w:proofErr w:type="spellStart"/>
            <w:r w:rsidRPr="001C71C2">
              <w:rPr>
                <w:sz w:val="24"/>
                <w:szCs w:val="24"/>
              </w:rPr>
              <w:t>Проведення</w:t>
            </w:r>
            <w:proofErr w:type="spellEnd"/>
            <w:r w:rsidRPr="001C71C2">
              <w:rPr>
                <w:sz w:val="24"/>
                <w:szCs w:val="24"/>
              </w:rPr>
              <w:t xml:space="preserve"> </w:t>
            </w:r>
            <w:proofErr w:type="spellStart"/>
            <w:r w:rsidRPr="001C71C2">
              <w:rPr>
                <w:sz w:val="24"/>
                <w:szCs w:val="24"/>
              </w:rPr>
              <w:t>інформаційн</w:t>
            </w:r>
            <w:r w:rsidRPr="001C71C2">
              <w:rPr>
                <w:sz w:val="24"/>
                <w:szCs w:val="24"/>
                <w:lang w:val="uk-UA"/>
              </w:rPr>
              <w:t>ої</w:t>
            </w:r>
            <w:proofErr w:type="spellEnd"/>
            <w:r w:rsidRPr="001C71C2">
              <w:rPr>
                <w:sz w:val="24"/>
                <w:szCs w:val="24"/>
              </w:rPr>
              <w:t xml:space="preserve"> </w:t>
            </w:r>
            <w:proofErr w:type="spellStart"/>
            <w:r w:rsidRPr="001C71C2">
              <w:rPr>
                <w:sz w:val="24"/>
                <w:szCs w:val="24"/>
              </w:rPr>
              <w:t>кампані</w:t>
            </w:r>
            <w:proofErr w:type="spellEnd"/>
            <w:r w:rsidRPr="001C71C2">
              <w:rPr>
                <w:sz w:val="24"/>
                <w:szCs w:val="24"/>
                <w:lang w:val="uk-UA"/>
              </w:rPr>
              <w:t>ї</w:t>
            </w:r>
            <w:r w:rsidRPr="001C71C2">
              <w:rPr>
                <w:sz w:val="24"/>
                <w:szCs w:val="24"/>
              </w:rPr>
              <w:t xml:space="preserve"> та </w:t>
            </w:r>
            <w:proofErr w:type="spellStart"/>
            <w:r w:rsidRPr="001C71C2">
              <w:rPr>
                <w:sz w:val="24"/>
                <w:szCs w:val="24"/>
              </w:rPr>
              <w:t>промоці</w:t>
            </w:r>
            <w:proofErr w:type="spellEnd"/>
            <w:r w:rsidRPr="001C71C2">
              <w:rPr>
                <w:sz w:val="24"/>
                <w:szCs w:val="24"/>
                <w:lang w:val="uk-UA"/>
              </w:rPr>
              <w:t xml:space="preserve">ї (друк поліграфічної продукції, </w:t>
            </w:r>
            <w:proofErr w:type="spellStart"/>
            <w:r w:rsidRPr="001C71C2">
              <w:rPr>
                <w:sz w:val="24"/>
                <w:szCs w:val="24"/>
                <w:lang w:val="uk-UA"/>
              </w:rPr>
              <w:t>промоційні</w:t>
            </w:r>
            <w:proofErr w:type="spellEnd"/>
            <w:r w:rsidRPr="001C71C2">
              <w:rPr>
                <w:sz w:val="24"/>
                <w:szCs w:val="24"/>
                <w:lang w:val="uk-UA"/>
              </w:rPr>
              <w:t xml:space="preserve"> заходи, проведення презентацій)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sz w:val="24"/>
                <w:szCs w:val="24"/>
              </w:rPr>
            </w:pPr>
            <w:r w:rsidRPr="001C71C2">
              <w:rPr>
                <w:rFonts w:eastAsia="Calibri"/>
                <w:sz w:val="24"/>
                <w:szCs w:val="24"/>
                <w:lang w:val="uk-UA"/>
              </w:rPr>
              <w:t xml:space="preserve">Інформаційна кампанія здійснюється за рахунок коштів Громадського бюджету.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1C71C2">
              <w:rPr>
                <w:rFonts w:eastAsia="Calibri"/>
                <w:sz w:val="24"/>
                <w:szCs w:val="24"/>
                <w:lang w:val="uk-UA"/>
              </w:rPr>
              <w:t>до 1 % від загального річного бюджету Громадського бюджету</w:t>
            </w:r>
          </w:p>
          <w:p w:rsidR="00D75926" w:rsidRPr="001C71C2" w:rsidRDefault="00D75926" w:rsidP="006A67F3">
            <w:pPr>
              <w:rPr>
                <w:sz w:val="24"/>
                <w:szCs w:val="24"/>
              </w:rPr>
            </w:pPr>
          </w:p>
        </w:tc>
      </w:tr>
      <w:tr w:rsidR="00D75926" w:rsidRPr="001C71C2" w:rsidTr="006A67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sz w:val="24"/>
                <w:szCs w:val="24"/>
              </w:rPr>
            </w:pPr>
            <w:r w:rsidRPr="001C71C2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sz w:val="24"/>
                <w:szCs w:val="24"/>
                <w:lang w:val="uk-UA"/>
              </w:rPr>
            </w:pPr>
            <w:r w:rsidRPr="001C71C2">
              <w:rPr>
                <w:sz w:val="24"/>
                <w:szCs w:val="24"/>
                <w:lang w:val="uk-UA"/>
              </w:rPr>
              <w:t xml:space="preserve">Реалізація </w:t>
            </w:r>
            <w:proofErr w:type="spellStart"/>
            <w:r w:rsidRPr="001C71C2">
              <w:rPr>
                <w:sz w:val="24"/>
                <w:szCs w:val="24"/>
                <w:lang w:val="uk-UA"/>
              </w:rPr>
              <w:t>проєктів</w:t>
            </w:r>
            <w:proofErr w:type="spellEnd"/>
            <w:r w:rsidRPr="001C71C2">
              <w:rPr>
                <w:sz w:val="24"/>
                <w:szCs w:val="24"/>
                <w:lang w:val="uk-UA"/>
              </w:rPr>
              <w:t xml:space="preserve"> переможців Громадського бюджету </w:t>
            </w:r>
            <w:proofErr w:type="spellStart"/>
            <w:r w:rsidRPr="001C71C2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1C71C2">
              <w:rPr>
                <w:sz w:val="24"/>
                <w:szCs w:val="24"/>
                <w:lang w:val="uk-UA"/>
              </w:rPr>
              <w:t xml:space="preserve"> міської територіальної громади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sz w:val="24"/>
                <w:szCs w:val="24"/>
                <w:lang w:val="uk-UA"/>
              </w:rPr>
            </w:pPr>
            <w:r w:rsidRPr="001C71C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926" w:rsidRPr="001C71C2" w:rsidRDefault="00D75926" w:rsidP="006A67F3">
            <w:pPr>
              <w:rPr>
                <w:sz w:val="24"/>
                <w:szCs w:val="24"/>
              </w:rPr>
            </w:pPr>
            <w:r w:rsidRPr="001C71C2">
              <w:rPr>
                <w:rFonts w:eastAsia="Calibri"/>
                <w:sz w:val="24"/>
                <w:szCs w:val="24"/>
                <w:lang w:val="uk-UA"/>
              </w:rPr>
              <w:t xml:space="preserve">Обсяг громадського бюджету на відповідний бюджетний рік становить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від 0,3% до </w:t>
            </w:r>
            <w:r w:rsidRPr="001C71C2">
              <w:rPr>
                <w:rFonts w:eastAsia="Calibri"/>
                <w:sz w:val="24"/>
                <w:szCs w:val="24"/>
                <w:lang w:val="uk-UA"/>
              </w:rPr>
              <w:t>0,5% затвердженого обсягу доходів загального фонду міського бюджету без урахування міжбюджетних трансфертів.</w:t>
            </w:r>
          </w:p>
        </w:tc>
      </w:tr>
    </w:tbl>
    <w:p w:rsidR="00D75926" w:rsidRPr="001C71C2" w:rsidRDefault="00D75926" w:rsidP="00D75926">
      <w:pPr>
        <w:rPr>
          <w:b/>
          <w:sz w:val="24"/>
          <w:szCs w:val="24"/>
          <w:lang w:val="uk-UA"/>
        </w:rPr>
      </w:pPr>
    </w:p>
    <w:p w:rsidR="00D75926" w:rsidRPr="001C71C2" w:rsidRDefault="00D75926" w:rsidP="00D75926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1C2">
        <w:rPr>
          <w:rFonts w:ascii="Times New Roman" w:hAnsi="Times New Roman"/>
          <w:b/>
          <w:sz w:val="24"/>
          <w:szCs w:val="24"/>
        </w:rPr>
        <w:t>Контроль за виконання Програми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Контроль за виконанням Програми здійснюють: </w:t>
      </w:r>
      <w:proofErr w:type="spellStart"/>
      <w:r w:rsidRPr="001C71C2">
        <w:rPr>
          <w:sz w:val="24"/>
          <w:szCs w:val="24"/>
          <w:lang w:val="uk-UA"/>
        </w:rPr>
        <w:t>Знам’янська</w:t>
      </w:r>
      <w:proofErr w:type="spellEnd"/>
      <w:r w:rsidRPr="001C71C2">
        <w:rPr>
          <w:sz w:val="24"/>
          <w:szCs w:val="24"/>
          <w:lang w:val="uk-UA"/>
        </w:rPr>
        <w:t xml:space="preserve"> міська рада, виконавчий комітет </w:t>
      </w:r>
      <w:proofErr w:type="spellStart"/>
      <w:r w:rsidRPr="001C71C2">
        <w:rPr>
          <w:sz w:val="24"/>
          <w:szCs w:val="24"/>
          <w:lang w:val="uk-UA"/>
        </w:rPr>
        <w:t>Знам’янської</w:t>
      </w:r>
      <w:proofErr w:type="spellEnd"/>
      <w:r w:rsidRPr="001C71C2">
        <w:rPr>
          <w:sz w:val="24"/>
          <w:szCs w:val="24"/>
          <w:lang w:val="uk-UA"/>
        </w:rPr>
        <w:t xml:space="preserve"> міської ради, </w:t>
      </w:r>
      <w:r w:rsidRPr="001C71C2">
        <w:rPr>
          <w:bCs/>
          <w:kern w:val="32"/>
          <w:sz w:val="24"/>
          <w:szCs w:val="24"/>
          <w:lang w:val="uk-UA"/>
        </w:rPr>
        <w:t xml:space="preserve">Координаційна ради по впровадженню та реалізації Громадського бюджету </w:t>
      </w:r>
      <w:proofErr w:type="spellStart"/>
      <w:r w:rsidRPr="001C71C2">
        <w:rPr>
          <w:bCs/>
          <w:kern w:val="32"/>
          <w:sz w:val="24"/>
          <w:szCs w:val="24"/>
          <w:lang w:val="uk-UA"/>
        </w:rPr>
        <w:t>Знам’янської</w:t>
      </w:r>
      <w:proofErr w:type="spellEnd"/>
      <w:r w:rsidRPr="001C71C2">
        <w:rPr>
          <w:bCs/>
          <w:kern w:val="32"/>
          <w:sz w:val="24"/>
          <w:szCs w:val="24"/>
          <w:lang w:val="uk-UA"/>
        </w:rPr>
        <w:t xml:space="preserve"> міської територіальної громади.</w:t>
      </w:r>
      <w:r w:rsidRPr="001C71C2">
        <w:rPr>
          <w:sz w:val="24"/>
          <w:szCs w:val="24"/>
          <w:lang w:val="uk-UA"/>
        </w:rPr>
        <w:t xml:space="preserve"> </w:t>
      </w:r>
    </w:p>
    <w:p w:rsidR="00D75926" w:rsidRPr="001C71C2" w:rsidRDefault="00D75926" w:rsidP="00D75926">
      <w:pPr>
        <w:ind w:firstLine="360"/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Головні розпорядники у процесі виконання Програми забезпечують цільове та ефективне використання бюджетних коштів протягом усього строку реалізації </w:t>
      </w:r>
      <w:proofErr w:type="spellStart"/>
      <w:r w:rsidRPr="001C71C2">
        <w:rPr>
          <w:sz w:val="24"/>
          <w:szCs w:val="24"/>
          <w:lang w:val="uk-UA"/>
        </w:rPr>
        <w:t>проєктів-переможців</w:t>
      </w:r>
      <w:proofErr w:type="spellEnd"/>
      <w:r w:rsidRPr="001C71C2">
        <w:rPr>
          <w:sz w:val="24"/>
          <w:szCs w:val="24"/>
          <w:lang w:val="uk-UA"/>
        </w:rPr>
        <w:t xml:space="preserve"> громадського бюджету у межах визначених бюджетних призначень. </w:t>
      </w:r>
    </w:p>
    <w:p w:rsidR="00D75926" w:rsidRPr="001C71C2" w:rsidRDefault="00D75926" w:rsidP="00D75926">
      <w:pPr>
        <w:rPr>
          <w:sz w:val="24"/>
          <w:szCs w:val="24"/>
          <w:lang w:val="uk-UA"/>
        </w:rPr>
      </w:pPr>
    </w:p>
    <w:p w:rsidR="00D75926" w:rsidRPr="001C71C2" w:rsidRDefault="00D75926" w:rsidP="00D75926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1C2">
        <w:rPr>
          <w:rFonts w:ascii="Times New Roman" w:hAnsi="Times New Roman"/>
          <w:b/>
          <w:sz w:val="24"/>
          <w:szCs w:val="24"/>
        </w:rPr>
        <w:t>Очікувані результати виконання Програми</w:t>
      </w:r>
    </w:p>
    <w:p w:rsidR="00D75926" w:rsidRPr="001C71C2" w:rsidRDefault="00D75926" w:rsidP="00D75926">
      <w:pPr>
        <w:jc w:val="both"/>
        <w:rPr>
          <w:sz w:val="24"/>
          <w:szCs w:val="24"/>
          <w:lang w:val="uk-UA"/>
        </w:rPr>
      </w:pPr>
      <w:r w:rsidRPr="001C71C2">
        <w:rPr>
          <w:sz w:val="24"/>
          <w:szCs w:val="24"/>
          <w:lang w:val="uk-UA"/>
        </w:rPr>
        <w:t xml:space="preserve">Основними результатами, яких планується досягти, є: </w:t>
      </w:r>
    </w:p>
    <w:p w:rsidR="00D75926" w:rsidRPr="001C71C2" w:rsidRDefault="00D75926" w:rsidP="00D75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1C2">
        <w:rPr>
          <w:rFonts w:ascii="Times New Roman" w:hAnsi="Times New Roman"/>
          <w:sz w:val="24"/>
          <w:szCs w:val="24"/>
        </w:rPr>
        <w:t xml:space="preserve">створення ефективного механізму взаємодії виконавчих органів </w:t>
      </w:r>
      <w:proofErr w:type="spellStart"/>
      <w:r w:rsidRPr="001C71C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C71C2">
        <w:rPr>
          <w:rFonts w:ascii="Times New Roman" w:hAnsi="Times New Roman"/>
          <w:sz w:val="24"/>
          <w:szCs w:val="24"/>
        </w:rPr>
        <w:t xml:space="preserve"> міської ради та громадян в бюджетному процесі; </w:t>
      </w:r>
    </w:p>
    <w:p w:rsidR="00D75926" w:rsidRPr="001C71C2" w:rsidRDefault="00D75926" w:rsidP="00D75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1C2">
        <w:rPr>
          <w:rFonts w:ascii="Times New Roman" w:hAnsi="Times New Roman"/>
          <w:sz w:val="24"/>
          <w:szCs w:val="24"/>
        </w:rPr>
        <w:t xml:space="preserve">залучення населення до процесу прийняття рішень на місцевому рівні; </w:t>
      </w:r>
    </w:p>
    <w:p w:rsidR="00D75926" w:rsidRPr="001C71C2" w:rsidRDefault="00D75926" w:rsidP="00D75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1C2">
        <w:rPr>
          <w:rFonts w:ascii="Times New Roman" w:hAnsi="Times New Roman"/>
          <w:sz w:val="24"/>
          <w:szCs w:val="24"/>
        </w:rPr>
        <w:t xml:space="preserve">формування довіри громадян до міської влади; </w:t>
      </w:r>
    </w:p>
    <w:p w:rsidR="00D75926" w:rsidRPr="001C71C2" w:rsidRDefault="00D75926" w:rsidP="00D75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1C2">
        <w:rPr>
          <w:rFonts w:ascii="Times New Roman" w:hAnsi="Times New Roman"/>
          <w:sz w:val="24"/>
          <w:szCs w:val="24"/>
        </w:rPr>
        <w:t xml:space="preserve">підвищення відкритості діяльності органів місцевого самоврядування; </w:t>
      </w:r>
    </w:p>
    <w:p w:rsidR="00D75926" w:rsidRPr="001C71C2" w:rsidRDefault="00D75926" w:rsidP="00D75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1C2">
        <w:rPr>
          <w:rFonts w:ascii="Times New Roman" w:hAnsi="Times New Roman"/>
          <w:sz w:val="24"/>
          <w:szCs w:val="24"/>
        </w:rPr>
        <w:t xml:space="preserve">підвищення рівня прозорості процесу прийняття рішень шляхом надання жителям </w:t>
      </w:r>
      <w:proofErr w:type="spellStart"/>
      <w:r w:rsidRPr="001C71C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C71C2">
        <w:rPr>
          <w:rFonts w:ascii="Times New Roman" w:hAnsi="Times New Roman"/>
          <w:sz w:val="24"/>
          <w:szCs w:val="24"/>
        </w:rPr>
        <w:t xml:space="preserve"> міської територіальної громади можливості безпосереднього впливу на бюджетну політику громади; </w:t>
      </w:r>
    </w:p>
    <w:p w:rsidR="00D75926" w:rsidRPr="001C71C2" w:rsidRDefault="00D75926" w:rsidP="00D75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71C2">
        <w:rPr>
          <w:rFonts w:ascii="Times New Roman" w:hAnsi="Times New Roman"/>
          <w:sz w:val="24"/>
          <w:szCs w:val="24"/>
        </w:rPr>
        <w:t>вирішення проблем, які найбільш хвилюють жителів громади.</w:t>
      </w:r>
    </w:p>
    <w:p w:rsidR="00D75926" w:rsidRPr="001C71C2" w:rsidRDefault="00D75926" w:rsidP="00D75926">
      <w:pPr>
        <w:rPr>
          <w:b/>
          <w:sz w:val="24"/>
          <w:szCs w:val="24"/>
          <w:lang w:val="uk-UA"/>
        </w:rPr>
      </w:pPr>
    </w:p>
    <w:p w:rsidR="00D75926" w:rsidRDefault="00D75926" w:rsidP="00D75926">
      <w:pPr>
        <w:ind w:left="7788"/>
        <w:jc w:val="center"/>
        <w:rPr>
          <w:b/>
          <w:sz w:val="24"/>
          <w:szCs w:val="24"/>
          <w:lang w:val="uk-UA"/>
        </w:rPr>
      </w:pPr>
    </w:p>
    <w:p w:rsidR="00D75926" w:rsidRDefault="00D75926" w:rsidP="00D75926">
      <w:pPr>
        <w:ind w:left="7788"/>
        <w:jc w:val="center"/>
        <w:rPr>
          <w:b/>
          <w:sz w:val="24"/>
          <w:szCs w:val="24"/>
          <w:lang w:val="uk-UA"/>
        </w:rPr>
      </w:pPr>
    </w:p>
    <w:p w:rsidR="00D75926" w:rsidRDefault="00D75926" w:rsidP="00D75926">
      <w:pPr>
        <w:ind w:left="7788"/>
        <w:jc w:val="center"/>
        <w:rPr>
          <w:b/>
          <w:sz w:val="24"/>
          <w:szCs w:val="24"/>
          <w:lang w:val="uk-UA"/>
        </w:rPr>
      </w:pPr>
    </w:p>
    <w:p w:rsidR="00D75926" w:rsidRDefault="00D75926" w:rsidP="00D75926">
      <w:pPr>
        <w:ind w:left="7788"/>
        <w:jc w:val="center"/>
        <w:rPr>
          <w:b/>
          <w:sz w:val="24"/>
          <w:szCs w:val="24"/>
          <w:lang w:val="uk-UA"/>
        </w:rPr>
      </w:pPr>
    </w:p>
    <w:p w:rsidR="00E360AF" w:rsidRPr="00D75926" w:rsidRDefault="00E360AF">
      <w:pPr>
        <w:rPr>
          <w:lang w:val="uk-UA"/>
        </w:rPr>
      </w:pPr>
      <w:bookmarkStart w:id="0" w:name="_GoBack"/>
      <w:bookmarkEnd w:id="0"/>
    </w:p>
    <w:sectPr w:rsidR="00E360AF" w:rsidRPr="00D75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B5F"/>
    <w:multiLevelType w:val="hybridMultilevel"/>
    <w:tmpl w:val="FC54BE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A536D"/>
    <w:multiLevelType w:val="hybridMultilevel"/>
    <w:tmpl w:val="A142D1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D5211A"/>
    <w:multiLevelType w:val="hybridMultilevel"/>
    <w:tmpl w:val="69AE9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D940D2"/>
    <w:multiLevelType w:val="hybridMultilevel"/>
    <w:tmpl w:val="FD425C7C"/>
    <w:lvl w:ilvl="0" w:tplc="B23C3F26">
      <w:start w:val="2"/>
      <w:numFmt w:val="bullet"/>
      <w:lvlText w:val="-"/>
      <w:lvlJc w:val="left"/>
      <w:pPr>
        <w:tabs>
          <w:tab w:val="num" w:pos="-732"/>
        </w:tabs>
        <w:ind w:left="-732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72"/>
        </w:tabs>
        <w:ind w:left="-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26"/>
    <w:rsid w:val="00D75926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759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7592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759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Title"/>
    <w:basedOn w:val="a"/>
    <w:link w:val="a5"/>
    <w:uiPriority w:val="99"/>
    <w:qFormat/>
    <w:rsid w:val="00D75926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D7592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table" w:styleId="a6">
    <w:name w:val="Table Grid"/>
    <w:basedOn w:val="a1"/>
    <w:rsid w:val="00D759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759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7592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759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Title"/>
    <w:basedOn w:val="a"/>
    <w:link w:val="a5"/>
    <w:uiPriority w:val="99"/>
    <w:qFormat/>
    <w:rsid w:val="00D75926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D7592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table" w:styleId="a6">
    <w:name w:val="Table Grid"/>
    <w:basedOn w:val="a1"/>
    <w:rsid w:val="00D759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2021-02-26T11:19:00Z</dcterms:created>
  <dcterms:modified xsi:type="dcterms:W3CDTF">2021-02-26T11:20:00Z</dcterms:modified>
</cp:coreProperties>
</file>