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515" w:rsidRPr="00133F02" w:rsidRDefault="00842515" w:rsidP="00842515">
      <w:pPr>
        <w:jc w:val="center"/>
        <w:rPr>
          <w:b/>
          <w:bCs/>
        </w:rPr>
      </w:pPr>
      <w:r>
        <w:rPr>
          <w:b/>
          <w:bCs/>
        </w:rPr>
        <w:t>П</w:t>
      </w:r>
      <w:r>
        <w:rPr>
          <w:b/>
          <w:bCs/>
          <w:lang w:val="uk-UA"/>
        </w:rPr>
        <w:t>’ятдесят друга</w:t>
      </w:r>
      <w:r w:rsidRPr="00133F02">
        <w:rPr>
          <w:b/>
          <w:bCs/>
        </w:rPr>
        <w:t xml:space="preserve"> сесія Знам’янської міської ради</w:t>
      </w:r>
    </w:p>
    <w:p w:rsidR="00842515" w:rsidRPr="00133F02" w:rsidRDefault="00842515" w:rsidP="00842515">
      <w:pPr>
        <w:jc w:val="center"/>
        <w:rPr>
          <w:b/>
          <w:bCs/>
        </w:rPr>
      </w:pPr>
      <w:r w:rsidRPr="00133F02">
        <w:rPr>
          <w:b/>
          <w:bCs/>
        </w:rPr>
        <w:t>сьомого скликання</w:t>
      </w:r>
    </w:p>
    <w:p w:rsidR="00842515" w:rsidRPr="00133F02" w:rsidRDefault="00842515" w:rsidP="00842515">
      <w:pPr>
        <w:jc w:val="center"/>
        <w:rPr>
          <w:b/>
          <w:bCs/>
        </w:rPr>
      </w:pPr>
    </w:p>
    <w:p w:rsidR="00842515" w:rsidRPr="00133F02" w:rsidRDefault="00842515" w:rsidP="00842515">
      <w:pPr>
        <w:jc w:val="center"/>
        <w:rPr>
          <w:b/>
          <w:bCs/>
        </w:rPr>
      </w:pPr>
      <w:r w:rsidRPr="00133F02">
        <w:rPr>
          <w:b/>
          <w:bCs/>
        </w:rPr>
        <w:t>Р І Ш Е Н Н Я</w:t>
      </w:r>
    </w:p>
    <w:p w:rsidR="00842515" w:rsidRPr="00133F02" w:rsidRDefault="00842515" w:rsidP="00842515">
      <w:pPr>
        <w:jc w:val="both"/>
      </w:pPr>
      <w:r>
        <w:t xml:space="preserve">від  </w:t>
      </w:r>
      <w:r>
        <w:rPr>
          <w:lang w:val="uk-UA"/>
        </w:rPr>
        <w:t>30</w:t>
      </w:r>
      <w:r w:rsidRPr="00322C05">
        <w:t xml:space="preserve"> </w:t>
      </w:r>
      <w:r>
        <w:rPr>
          <w:lang w:val="uk-UA"/>
        </w:rPr>
        <w:t>березня</w:t>
      </w:r>
      <w:r>
        <w:t xml:space="preserve">  </w:t>
      </w:r>
      <w:r w:rsidRPr="00133F02">
        <w:t>201</w:t>
      </w:r>
      <w:r>
        <w:t>8</w:t>
      </w:r>
      <w:r w:rsidRPr="00133F02">
        <w:t xml:space="preserve">  року                                                                        </w:t>
      </w:r>
      <w:r w:rsidRPr="00133F02">
        <w:tab/>
      </w:r>
      <w:r w:rsidRPr="00133F02">
        <w:tab/>
      </w:r>
      <w:r w:rsidRPr="00133F02">
        <w:rPr>
          <w:b/>
        </w:rPr>
        <w:t>№</w:t>
      </w:r>
      <w:r>
        <w:rPr>
          <w:b/>
          <w:lang w:val="uk-UA"/>
        </w:rPr>
        <w:t>1382</w:t>
      </w:r>
      <w:r w:rsidRPr="00133F02">
        <w:rPr>
          <w:b/>
        </w:rPr>
        <w:t xml:space="preserve">  </w:t>
      </w:r>
    </w:p>
    <w:p w:rsidR="00842515" w:rsidRPr="00133F02" w:rsidRDefault="00842515" w:rsidP="00842515">
      <w:pPr>
        <w:jc w:val="center"/>
      </w:pPr>
      <w:r w:rsidRPr="00133F02">
        <w:t>м.Знам’янка</w:t>
      </w:r>
    </w:p>
    <w:p w:rsidR="00842515" w:rsidRPr="00133F02" w:rsidRDefault="00842515" w:rsidP="00842515">
      <w:pPr>
        <w:tabs>
          <w:tab w:val="num" w:pos="0"/>
          <w:tab w:val="left" w:pos="360"/>
        </w:tabs>
        <w:jc w:val="both"/>
      </w:pPr>
    </w:p>
    <w:p w:rsidR="00842515" w:rsidRDefault="00842515" w:rsidP="00842515">
      <w:pPr>
        <w:pStyle w:val="a6"/>
        <w:rPr>
          <w:rFonts w:ascii="Times New Roman" w:hAnsi="Times New Roman"/>
          <w:sz w:val="24"/>
          <w:szCs w:val="24"/>
        </w:rPr>
      </w:pPr>
      <w:r w:rsidRPr="00133F02">
        <w:rPr>
          <w:rFonts w:ascii="Times New Roman" w:hAnsi="Times New Roman"/>
          <w:sz w:val="24"/>
          <w:szCs w:val="24"/>
        </w:rPr>
        <w:t xml:space="preserve">Звіт постійної комісії з питань </w:t>
      </w:r>
      <w:r>
        <w:rPr>
          <w:rFonts w:ascii="Times New Roman" w:hAnsi="Times New Roman"/>
          <w:sz w:val="24"/>
          <w:szCs w:val="24"/>
        </w:rPr>
        <w:t>освіти, культури,</w:t>
      </w:r>
    </w:p>
    <w:p w:rsidR="00842515" w:rsidRPr="00133F02" w:rsidRDefault="00842515" w:rsidP="00842515">
      <w:pPr>
        <w:pStyle w:val="a6"/>
        <w:rPr>
          <w:rFonts w:ascii="Times New Roman" w:hAnsi="Times New Roman"/>
          <w:sz w:val="24"/>
          <w:szCs w:val="24"/>
        </w:rPr>
      </w:pPr>
      <w:r>
        <w:rPr>
          <w:rFonts w:ascii="Times New Roman" w:hAnsi="Times New Roman"/>
          <w:sz w:val="24"/>
          <w:szCs w:val="24"/>
        </w:rPr>
        <w:t xml:space="preserve">молоді та спорту </w:t>
      </w:r>
      <w:r w:rsidRPr="00133F02">
        <w:rPr>
          <w:rFonts w:ascii="Times New Roman" w:hAnsi="Times New Roman"/>
          <w:sz w:val="24"/>
          <w:szCs w:val="24"/>
        </w:rPr>
        <w:t>за 201</w:t>
      </w:r>
      <w:r>
        <w:rPr>
          <w:rFonts w:ascii="Times New Roman" w:hAnsi="Times New Roman"/>
          <w:sz w:val="24"/>
          <w:szCs w:val="24"/>
        </w:rPr>
        <w:t>7</w:t>
      </w:r>
      <w:r w:rsidRPr="00133F02">
        <w:rPr>
          <w:rFonts w:ascii="Times New Roman" w:hAnsi="Times New Roman"/>
          <w:sz w:val="24"/>
          <w:szCs w:val="24"/>
        </w:rPr>
        <w:t xml:space="preserve"> рік</w:t>
      </w:r>
    </w:p>
    <w:p w:rsidR="00842515" w:rsidRPr="00E87DD9" w:rsidRDefault="00842515" w:rsidP="00842515">
      <w:pPr>
        <w:jc w:val="center"/>
        <w:rPr>
          <w:lang w:val="uk-UA"/>
        </w:rPr>
      </w:pPr>
    </w:p>
    <w:p w:rsidR="00842515" w:rsidRDefault="00842515" w:rsidP="00842515">
      <w:pPr>
        <w:pStyle w:val="a6"/>
        <w:ind w:firstLine="708"/>
        <w:jc w:val="both"/>
        <w:rPr>
          <w:rFonts w:ascii="Times New Roman" w:hAnsi="Times New Roman"/>
          <w:sz w:val="24"/>
          <w:szCs w:val="24"/>
        </w:rPr>
      </w:pPr>
      <w:r w:rsidRPr="00E87DD9">
        <w:rPr>
          <w:rFonts w:ascii="Times New Roman" w:hAnsi="Times New Roman"/>
          <w:sz w:val="24"/>
          <w:szCs w:val="24"/>
        </w:rPr>
        <w:t xml:space="preserve">Заслухавши звіт  голови постійної комісії  з питань </w:t>
      </w:r>
      <w:r>
        <w:rPr>
          <w:rFonts w:ascii="Times New Roman" w:hAnsi="Times New Roman"/>
          <w:sz w:val="24"/>
          <w:szCs w:val="24"/>
        </w:rPr>
        <w:t>освіти, культури, молоді та спорту</w:t>
      </w:r>
      <w:r w:rsidRPr="00E87DD9">
        <w:rPr>
          <w:rFonts w:ascii="Times New Roman" w:hAnsi="Times New Roman"/>
          <w:sz w:val="24"/>
          <w:szCs w:val="24"/>
        </w:rPr>
        <w:t xml:space="preserve"> за 201</w:t>
      </w:r>
      <w:r>
        <w:rPr>
          <w:rFonts w:ascii="Times New Roman" w:hAnsi="Times New Roman"/>
          <w:sz w:val="24"/>
          <w:szCs w:val="24"/>
        </w:rPr>
        <w:t>7</w:t>
      </w:r>
      <w:r w:rsidRPr="00E87DD9">
        <w:rPr>
          <w:rFonts w:ascii="Times New Roman" w:hAnsi="Times New Roman"/>
          <w:sz w:val="24"/>
          <w:szCs w:val="24"/>
        </w:rPr>
        <w:t xml:space="preserve"> рік </w:t>
      </w:r>
      <w:r>
        <w:rPr>
          <w:rFonts w:ascii="Times New Roman" w:hAnsi="Times New Roman"/>
          <w:sz w:val="24"/>
          <w:szCs w:val="24"/>
        </w:rPr>
        <w:t>Ю.Сопільняка, керуючись ст.ст.26,</w:t>
      </w:r>
      <w:r w:rsidRPr="00E87DD9">
        <w:rPr>
          <w:rFonts w:ascii="Times New Roman" w:hAnsi="Times New Roman"/>
          <w:sz w:val="24"/>
          <w:szCs w:val="24"/>
        </w:rPr>
        <w:t>47 Закону України «Про місцеве самоврядування в Україні», міська рада</w:t>
      </w:r>
    </w:p>
    <w:p w:rsidR="00842515" w:rsidRPr="005A1B07" w:rsidRDefault="00842515" w:rsidP="00842515">
      <w:pPr>
        <w:pStyle w:val="a6"/>
        <w:ind w:firstLine="708"/>
        <w:jc w:val="both"/>
        <w:rPr>
          <w:rFonts w:ascii="Times New Roman" w:hAnsi="Times New Roman"/>
          <w:sz w:val="24"/>
          <w:szCs w:val="24"/>
        </w:rPr>
      </w:pPr>
    </w:p>
    <w:p w:rsidR="00842515" w:rsidRDefault="00842515" w:rsidP="00842515">
      <w:pPr>
        <w:tabs>
          <w:tab w:val="num" w:pos="0"/>
          <w:tab w:val="left" w:pos="360"/>
        </w:tabs>
        <w:jc w:val="center"/>
        <w:rPr>
          <w:b/>
          <w:lang w:val="uk-UA"/>
        </w:rPr>
      </w:pPr>
      <w:r w:rsidRPr="00133F02">
        <w:rPr>
          <w:b/>
        </w:rPr>
        <w:t>В и р і ш и л а:</w:t>
      </w:r>
    </w:p>
    <w:p w:rsidR="00842515" w:rsidRPr="00B969F7" w:rsidRDefault="00842515" w:rsidP="00842515">
      <w:pPr>
        <w:tabs>
          <w:tab w:val="num" w:pos="0"/>
          <w:tab w:val="left" w:pos="360"/>
        </w:tabs>
        <w:jc w:val="center"/>
        <w:rPr>
          <w:b/>
          <w:lang w:val="uk-UA"/>
        </w:rPr>
      </w:pPr>
    </w:p>
    <w:p w:rsidR="00842515" w:rsidRPr="00133F02" w:rsidRDefault="00842515" w:rsidP="00842515">
      <w:pPr>
        <w:pStyle w:val="a6"/>
        <w:jc w:val="both"/>
      </w:pPr>
      <w:r w:rsidRPr="00133F02">
        <w:tab/>
      </w:r>
      <w:r w:rsidRPr="00E87DD9">
        <w:rPr>
          <w:rFonts w:ascii="Times New Roman" w:hAnsi="Times New Roman"/>
          <w:sz w:val="24"/>
          <w:szCs w:val="24"/>
        </w:rPr>
        <w:t xml:space="preserve">Звіт постійної комісії Знам’янської міської ради сьомого скликання з питань </w:t>
      </w:r>
      <w:r>
        <w:rPr>
          <w:rFonts w:ascii="Times New Roman" w:hAnsi="Times New Roman"/>
          <w:sz w:val="24"/>
          <w:szCs w:val="24"/>
        </w:rPr>
        <w:t>освіти, культури, молоді та спорту</w:t>
      </w:r>
      <w:r w:rsidRPr="00E87DD9">
        <w:rPr>
          <w:rFonts w:ascii="Times New Roman" w:hAnsi="Times New Roman"/>
          <w:sz w:val="24"/>
          <w:szCs w:val="24"/>
        </w:rPr>
        <w:t xml:space="preserve"> за 201</w:t>
      </w:r>
      <w:r>
        <w:rPr>
          <w:rFonts w:ascii="Times New Roman" w:hAnsi="Times New Roman"/>
          <w:sz w:val="24"/>
          <w:szCs w:val="24"/>
        </w:rPr>
        <w:t>7</w:t>
      </w:r>
      <w:r w:rsidRPr="00E87DD9">
        <w:rPr>
          <w:rFonts w:ascii="Times New Roman" w:hAnsi="Times New Roman"/>
          <w:sz w:val="24"/>
          <w:szCs w:val="24"/>
        </w:rPr>
        <w:t xml:space="preserve"> рік прийняти до відома (додається</w:t>
      </w:r>
      <w:r w:rsidRPr="00133F02">
        <w:t>).</w:t>
      </w:r>
    </w:p>
    <w:p w:rsidR="00842515" w:rsidRDefault="00842515" w:rsidP="00842515">
      <w:pPr>
        <w:tabs>
          <w:tab w:val="num" w:pos="0"/>
          <w:tab w:val="left" w:pos="360"/>
        </w:tabs>
        <w:jc w:val="both"/>
        <w:rPr>
          <w:b/>
          <w:lang w:val="uk-UA"/>
        </w:rPr>
      </w:pPr>
    </w:p>
    <w:p w:rsidR="00842515" w:rsidRPr="005A1B07" w:rsidRDefault="00842515" w:rsidP="00842515">
      <w:pPr>
        <w:tabs>
          <w:tab w:val="num" w:pos="0"/>
          <w:tab w:val="left" w:pos="360"/>
        </w:tabs>
        <w:jc w:val="both"/>
        <w:rPr>
          <w:b/>
          <w:lang w:val="uk-UA"/>
        </w:rPr>
      </w:pPr>
    </w:p>
    <w:p w:rsidR="00842515" w:rsidRPr="00133F02" w:rsidRDefault="00842515" w:rsidP="00842515">
      <w:pPr>
        <w:tabs>
          <w:tab w:val="num" w:pos="0"/>
          <w:tab w:val="left" w:pos="360"/>
        </w:tabs>
        <w:jc w:val="center"/>
        <w:rPr>
          <w:b/>
        </w:rPr>
      </w:pPr>
      <w:r w:rsidRPr="00133F02">
        <w:rPr>
          <w:b/>
        </w:rPr>
        <w:t>Міський голова                                        С.Філіпенко</w:t>
      </w:r>
    </w:p>
    <w:p w:rsidR="00842515" w:rsidRDefault="00842515" w:rsidP="00842515">
      <w:pPr>
        <w:pStyle w:val="10"/>
        <w:ind w:left="0"/>
        <w:jc w:val="center"/>
        <w:rPr>
          <w:rFonts w:ascii="Times New Roman" w:hAnsi="Times New Roman"/>
          <w:b/>
          <w:sz w:val="28"/>
          <w:szCs w:val="32"/>
          <w:lang w:val="uk-UA"/>
        </w:rPr>
      </w:pPr>
    </w:p>
    <w:p w:rsidR="00842515" w:rsidRPr="00E87DD9" w:rsidRDefault="00842515" w:rsidP="00842515">
      <w:pPr>
        <w:pStyle w:val="a6"/>
        <w:jc w:val="center"/>
        <w:rPr>
          <w:rFonts w:ascii="Times New Roman" w:hAnsi="Times New Roman"/>
          <w:b/>
          <w:sz w:val="24"/>
          <w:szCs w:val="24"/>
        </w:rPr>
      </w:pPr>
      <w:r w:rsidRPr="00E87DD9">
        <w:rPr>
          <w:rFonts w:ascii="Times New Roman" w:hAnsi="Times New Roman"/>
          <w:b/>
          <w:sz w:val="24"/>
          <w:szCs w:val="24"/>
        </w:rPr>
        <w:t>Звіт про роботу постійної комісії</w:t>
      </w:r>
    </w:p>
    <w:p w:rsidR="00842515" w:rsidRDefault="00842515" w:rsidP="00842515">
      <w:pPr>
        <w:pStyle w:val="a6"/>
        <w:jc w:val="center"/>
        <w:rPr>
          <w:rFonts w:ascii="Times New Roman" w:hAnsi="Times New Roman"/>
          <w:b/>
          <w:sz w:val="24"/>
          <w:szCs w:val="24"/>
        </w:rPr>
      </w:pPr>
      <w:r w:rsidRPr="00E87DD9">
        <w:rPr>
          <w:rFonts w:ascii="Times New Roman" w:hAnsi="Times New Roman"/>
          <w:b/>
          <w:sz w:val="24"/>
          <w:szCs w:val="24"/>
        </w:rPr>
        <w:t xml:space="preserve">з питань </w:t>
      </w:r>
      <w:r>
        <w:rPr>
          <w:rFonts w:ascii="Times New Roman" w:hAnsi="Times New Roman"/>
          <w:b/>
          <w:sz w:val="24"/>
          <w:szCs w:val="24"/>
        </w:rPr>
        <w:t xml:space="preserve">освіти, культури, молоді та спорту </w:t>
      </w:r>
      <w:r w:rsidRPr="00E87DD9">
        <w:rPr>
          <w:rFonts w:ascii="Times New Roman" w:hAnsi="Times New Roman"/>
          <w:b/>
          <w:sz w:val="24"/>
          <w:szCs w:val="24"/>
        </w:rPr>
        <w:t>за 201</w:t>
      </w:r>
      <w:r w:rsidRPr="00E87DD9">
        <w:rPr>
          <w:rFonts w:ascii="Times New Roman" w:hAnsi="Times New Roman"/>
          <w:b/>
          <w:sz w:val="24"/>
          <w:szCs w:val="24"/>
          <w:lang w:val="ru-RU"/>
        </w:rPr>
        <w:t>7</w:t>
      </w:r>
      <w:r w:rsidRPr="00E87DD9">
        <w:rPr>
          <w:rFonts w:ascii="Times New Roman" w:hAnsi="Times New Roman"/>
          <w:b/>
          <w:sz w:val="24"/>
          <w:szCs w:val="24"/>
        </w:rPr>
        <w:t xml:space="preserve"> рік</w:t>
      </w:r>
    </w:p>
    <w:p w:rsidR="00842515" w:rsidRPr="005A1B07" w:rsidRDefault="00842515" w:rsidP="00842515">
      <w:pPr>
        <w:pStyle w:val="a6"/>
        <w:jc w:val="center"/>
        <w:rPr>
          <w:rFonts w:ascii="Times New Roman" w:hAnsi="Times New Roman"/>
          <w:b/>
          <w:sz w:val="24"/>
          <w:szCs w:val="24"/>
        </w:rPr>
      </w:pP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 xml:space="preserve">Постійна комісія працювала відповідно до Регламенту міської ради, Положення про постійні комісії міської ради, згідно зі своїми планами та планами роботи міської ради. </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У 2017 році членами комісії стали двоє новообраних депутатів і склад комісії такий:</w:t>
      </w:r>
    </w:p>
    <w:p w:rsidR="00842515" w:rsidRPr="005C34FF" w:rsidRDefault="00842515" w:rsidP="00842515">
      <w:pPr>
        <w:rPr>
          <w:szCs w:val="28"/>
          <w:lang w:val="uk-UA"/>
        </w:rPr>
      </w:pPr>
      <w:r w:rsidRPr="005C34FF">
        <w:rPr>
          <w:szCs w:val="28"/>
          <w:lang w:val="uk-UA"/>
        </w:rPr>
        <w:t>1. Сопільняк Юрій Михайлович  - голова комісії.</w:t>
      </w:r>
    </w:p>
    <w:p w:rsidR="00842515" w:rsidRPr="005C34FF" w:rsidRDefault="00842515" w:rsidP="00842515">
      <w:pPr>
        <w:rPr>
          <w:szCs w:val="28"/>
          <w:lang w:val="uk-UA"/>
        </w:rPr>
      </w:pPr>
      <w:r w:rsidRPr="005C34FF">
        <w:rPr>
          <w:szCs w:val="28"/>
          <w:lang w:val="uk-UA"/>
        </w:rPr>
        <w:t>2. Бойко Світлана Василівна        - секретар комісії.</w:t>
      </w:r>
    </w:p>
    <w:p w:rsidR="00842515" w:rsidRPr="005C34FF" w:rsidRDefault="00842515" w:rsidP="00842515">
      <w:pPr>
        <w:rPr>
          <w:szCs w:val="28"/>
          <w:lang w:val="uk-UA"/>
        </w:rPr>
      </w:pPr>
      <w:r w:rsidRPr="005C34FF">
        <w:rPr>
          <w:szCs w:val="28"/>
          <w:lang w:val="uk-UA"/>
        </w:rPr>
        <w:t>3. Бойчук Ольга Іванівна             - член комісії.</w:t>
      </w:r>
    </w:p>
    <w:p w:rsidR="00842515" w:rsidRPr="005C34FF" w:rsidRDefault="00842515" w:rsidP="00842515">
      <w:pPr>
        <w:rPr>
          <w:szCs w:val="28"/>
          <w:lang w:val="uk-UA"/>
        </w:rPr>
      </w:pPr>
      <w:r w:rsidRPr="005C34FF">
        <w:rPr>
          <w:szCs w:val="28"/>
          <w:lang w:val="uk-UA"/>
        </w:rPr>
        <w:t>4. Клюка Юрій Григорович       - член комісії.</w:t>
      </w:r>
    </w:p>
    <w:p w:rsidR="00842515" w:rsidRPr="005C34FF" w:rsidRDefault="00842515" w:rsidP="00842515">
      <w:pPr>
        <w:rPr>
          <w:szCs w:val="28"/>
          <w:lang w:val="uk-UA"/>
        </w:rPr>
      </w:pPr>
      <w:r w:rsidRPr="005C34FF">
        <w:rPr>
          <w:szCs w:val="28"/>
          <w:lang w:val="uk-UA"/>
        </w:rPr>
        <w:t>5. Філіпова Світлана Миколаївна – член .комісії.</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Сопільняк Ю.М.,</w:t>
      </w:r>
      <w:r>
        <w:rPr>
          <w:szCs w:val="28"/>
          <w:lang w:val="uk-UA"/>
        </w:rPr>
        <w:t xml:space="preserve"> </w:t>
      </w:r>
      <w:r w:rsidRPr="005C34FF">
        <w:rPr>
          <w:szCs w:val="28"/>
          <w:lang w:val="uk-UA"/>
        </w:rPr>
        <w:t>Бойчук О.І.,</w:t>
      </w:r>
      <w:r>
        <w:rPr>
          <w:szCs w:val="28"/>
          <w:lang w:val="uk-UA"/>
        </w:rPr>
        <w:t xml:space="preserve"> </w:t>
      </w:r>
      <w:r w:rsidRPr="005C34FF">
        <w:rPr>
          <w:szCs w:val="28"/>
          <w:lang w:val="uk-UA"/>
        </w:rPr>
        <w:t>Філіпова С.М. є членами фракції «Солідарність», Бойко С.В. – член фракції Опозиційного блоку, Клюка Ю.Г.-</w:t>
      </w:r>
      <w:r>
        <w:rPr>
          <w:szCs w:val="28"/>
          <w:lang w:val="uk-UA"/>
        </w:rPr>
        <w:t xml:space="preserve"> </w:t>
      </w:r>
      <w:r w:rsidRPr="005C34FF">
        <w:rPr>
          <w:szCs w:val="28"/>
          <w:lang w:val="uk-UA"/>
        </w:rPr>
        <w:t>член партії «Воля».</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За результатами зустрічей з виборцями члени комісії звертались з депутатськими запитами ї зверненнями до органів виконавчої влади стосовно проблем міста і виборчих округів.</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Так, Бойчук О.І. подала 1 запит,Бойко С.В. – 4 запити і 22 звернення, Філіпова С.М. – 10 запитів, Сопільняк Ю.М. – 4 звернення, частина питань з яких виконана, частина знаходиться на виконанні. Крім того, Сопільняк Ю.М. подав 1 проект рішення міської ради, а Філіпова С.М. брала участь у роботі ТКК ради з питань перевезень.</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Члени комісії сприяли розробці Статутів навчальних закладів міста у новій редакції ; опрацьовували доповнення  до міської цільової комплексної програми розвитку закладів освіти міста на 2016 – 2018 роки; брали участь у розробці Програми надання премій Знам’янської міської ради спортсменам та тренерам за визначні досягнення у спорті на 2017-2020 роки; Міської комплексної програми «Молодь Знам’янщини на 2018- 2021 роки»; брали  участь у розробці  Міської програми «Обдарована молодь – запорука розвитку територіальної громади міста Знам’янки.</w:t>
      </w:r>
    </w:p>
    <w:p w:rsidR="00842515" w:rsidRPr="005C34FF" w:rsidRDefault="00842515" w:rsidP="00842515">
      <w:pPr>
        <w:jc w:val="both"/>
        <w:rPr>
          <w:szCs w:val="28"/>
          <w:lang w:val="uk-UA"/>
        </w:rPr>
      </w:pPr>
      <w:r w:rsidRPr="005C34FF">
        <w:rPr>
          <w:szCs w:val="28"/>
          <w:lang w:val="uk-UA"/>
        </w:rPr>
        <w:lastRenderedPageBreak/>
        <w:t xml:space="preserve">     </w:t>
      </w:r>
      <w:r>
        <w:rPr>
          <w:szCs w:val="28"/>
          <w:lang w:val="uk-UA"/>
        </w:rPr>
        <w:tab/>
      </w:r>
      <w:r w:rsidRPr="005C34FF">
        <w:rPr>
          <w:szCs w:val="28"/>
          <w:lang w:val="uk-UA"/>
        </w:rPr>
        <w:t>За ініціативою депутата Філіпової С.М. було розроблено і затверджено Положення про призначення премії  імені В’ячеслава Шкоди учнівській молоді та педагогічним працівникам за досягнуті успіхи.</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Член комісії Філіпова С.М. рішенням  сесії  від 17.02.2017 року затверджена  присяжним Знам’янського міськрайонного суду по місту Знам’янка.  Голова комісії Сопільняк Ю.М. був членом робочої групи топонімічної комісії, яка розглядала проекти перейменування вулиць та провулків міста згідно з законом про декомунізацію, який потім був прийнятий  міською радою як рішення про перейменування. Також голова комісії є членом робочої групи  по розробці статуту міста.</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 xml:space="preserve">У зв’язку </w:t>
      </w:r>
      <w:r>
        <w:rPr>
          <w:szCs w:val="28"/>
          <w:lang w:val="uk-UA"/>
        </w:rPr>
        <w:t>і</w:t>
      </w:r>
      <w:r w:rsidRPr="005C34FF">
        <w:rPr>
          <w:szCs w:val="28"/>
          <w:lang w:val="uk-UA"/>
        </w:rPr>
        <w:t>з введенням в дію нового закону України «Про освіту» на розширеному засіданні з запрошенням керівників і голів ПК закладів освіти комісія розглянула питання «Ефективне використання освітньої субвенції для фінансування закладів  загальної середньої освіти міста».</w:t>
      </w:r>
    </w:p>
    <w:p w:rsidR="00842515" w:rsidRPr="005C34FF" w:rsidRDefault="00842515" w:rsidP="00842515">
      <w:pPr>
        <w:rPr>
          <w:szCs w:val="28"/>
          <w:lang w:val="uk-UA"/>
        </w:rPr>
      </w:pPr>
      <w:r w:rsidRPr="005C34FF">
        <w:rPr>
          <w:szCs w:val="28"/>
          <w:lang w:val="uk-UA"/>
        </w:rPr>
        <w:t xml:space="preserve">     </w:t>
      </w:r>
      <w:r>
        <w:rPr>
          <w:szCs w:val="28"/>
          <w:lang w:val="uk-UA"/>
        </w:rPr>
        <w:tab/>
      </w:r>
      <w:r w:rsidRPr="005C34FF">
        <w:rPr>
          <w:szCs w:val="28"/>
          <w:lang w:val="uk-UA"/>
        </w:rPr>
        <w:t>За ініціативою членів комісії у 3 навчальних закладах міста – НВК  «ЗШ № 2 –ліцей», НВК «ЗШ № 3 – гімназія» та ЗШ № 4 в штати були введені медичні сестри, а в обох НВК введені посади вихователів груп продовженого дня, які фінансуються  з міського бюджету.</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 xml:space="preserve">Члени комісії Сопільняк Ю.М. та Бойко СВ. брали участь у проведенні «круглих  столів» в редакції газети «Знам’янські вісті» з питань освіти і культури. Бойко С.В.   також брала участь у комісійній перевірці проведеного капітального ремонту у приміщенні Будинку культури смт.Знам’янка  Друга, ініціювала розгляд питання про покращення умов для проведення міських заходів в парку відпочинку. </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Члени комісії звертались  з питаннями  про виділення коштів  на облаштування  територій для занять фізкультурою та спортом. Так, Бойчук О.І. клопотала перед виконкомом селищної ради Знам’янки Другої  про кошти на  благоустрій та огородження стадіону в с. Водяному. Філіпова С.М. клопоталась про кошти на реконструкцію та облаштування спортмайданчика на перетині вулиць Михайла Грушевського,20 та Героїв Крут.</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Комісія ініціювала питання про реконструкцію проспекту Шкільного  - капітально відремонтувати проїжджу частину, тротуари та зовнішнє освітлення до ювілею – 120-річчя заснування закладу НВК «ЗШ №2-ліцей».</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 xml:space="preserve">Члени постійної комісії відповідально ставляться до виконання обов’язків депутата, про що свідчить кількість сесій, в яких вони брали участь, та кількість засідань профільної комісії та спільних засідань профільних комісій міської ради. Так, з 22 сесійних засідань  Сопільняк  Ю.М. брав участь у 18, Бойчук О.І. – у 21, Бойко С.В. –у 15. Новообрані депутати також є активними, тому що Клюка Ю.Г. брав участь з 5 сесій у 5, а Філіпова С.М. у 15 сесіях з 16.  </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Відбулось 15 засідань постійної профільної комісії, у роботі яких  в 13 брав участь Сопільняк Ю.М., в 13 – Бойчук О.І., в 11 – Бойко С.В.  Клюка Ю.Г. брав участь у 3 засіданнях з 3, Філіпова С.М. – у 7 з 10.</w:t>
      </w:r>
    </w:p>
    <w:p w:rsidR="00842515" w:rsidRPr="005C34FF" w:rsidRDefault="00842515" w:rsidP="00842515">
      <w:pPr>
        <w:rPr>
          <w:szCs w:val="28"/>
          <w:lang w:val="uk-UA"/>
        </w:rPr>
      </w:pPr>
      <w:r w:rsidRPr="005C34FF">
        <w:rPr>
          <w:szCs w:val="28"/>
          <w:lang w:val="uk-UA"/>
        </w:rPr>
        <w:t xml:space="preserve">     </w:t>
      </w:r>
      <w:r>
        <w:rPr>
          <w:szCs w:val="28"/>
          <w:lang w:val="uk-UA"/>
        </w:rPr>
        <w:tab/>
      </w:r>
      <w:r w:rsidRPr="005C34FF">
        <w:rPr>
          <w:szCs w:val="28"/>
          <w:lang w:val="uk-UA"/>
        </w:rPr>
        <w:t>З 25 спільних засідань профільних комісій  Сопільняк Ю.М. брав участь у 21, Бойчук О.І. – у 20, Бойко С.В. – у 18. Клюка Ю.Г. брав участь у 6 з 9, а Філіпова  С.М. – у 16 з 21.</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Постійна комісія підтримує  тісний зв’язок з міським комітетом профспілки працівників освіти і науки, з відділом молоді, спорту та охорони здоров’я, з відділом культури і туризму.</w:t>
      </w:r>
    </w:p>
    <w:p w:rsidR="00842515" w:rsidRPr="005C34FF" w:rsidRDefault="00842515" w:rsidP="00842515">
      <w:pPr>
        <w:jc w:val="both"/>
        <w:rPr>
          <w:szCs w:val="28"/>
          <w:lang w:val="uk-UA"/>
        </w:rPr>
      </w:pPr>
      <w:r w:rsidRPr="005C34FF">
        <w:rPr>
          <w:szCs w:val="28"/>
          <w:lang w:val="uk-UA"/>
        </w:rPr>
        <w:t xml:space="preserve">     </w:t>
      </w:r>
      <w:r>
        <w:rPr>
          <w:szCs w:val="28"/>
          <w:lang w:val="uk-UA"/>
        </w:rPr>
        <w:tab/>
      </w:r>
      <w:r w:rsidRPr="005C34FF">
        <w:rPr>
          <w:szCs w:val="28"/>
          <w:lang w:val="uk-UA"/>
        </w:rPr>
        <w:t xml:space="preserve">Члени комісії висловлюють щиру подяку працівникам відділу забезпечення діяльності ради, які надають велику допомогу у депутатській діяльності. </w:t>
      </w:r>
    </w:p>
    <w:p w:rsidR="00842515" w:rsidRPr="005C34FF" w:rsidRDefault="00842515" w:rsidP="00842515">
      <w:pPr>
        <w:pStyle w:val="1"/>
        <w:rPr>
          <w:rFonts w:ascii="Times New Roman" w:hAnsi="Times New Roman"/>
          <w:b/>
          <w:bCs/>
          <w:szCs w:val="24"/>
          <w:lang w:val="uk-UA"/>
        </w:rPr>
      </w:pPr>
    </w:p>
    <w:p w:rsidR="00842515" w:rsidRDefault="00842515" w:rsidP="00842515">
      <w:pPr>
        <w:rPr>
          <w:lang w:val="uk-UA"/>
        </w:rPr>
      </w:pPr>
    </w:p>
    <w:p w:rsidR="00842515" w:rsidRDefault="00842515" w:rsidP="00842515">
      <w:pPr>
        <w:rPr>
          <w:lang w:val="uk-UA"/>
        </w:rPr>
      </w:pPr>
    </w:p>
    <w:p w:rsidR="00842515" w:rsidRDefault="00842515" w:rsidP="00842515">
      <w:pPr>
        <w:rPr>
          <w:lang w:val="uk-UA"/>
        </w:rPr>
      </w:pPr>
    </w:p>
    <w:p w:rsidR="00EE3D6F" w:rsidRDefault="00EE3D6F" w:rsidP="00EE3D6F">
      <w:pPr>
        <w:pStyle w:val="1"/>
        <w:jc w:val="right"/>
        <w:rPr>
          <w:rFonts w:ascii="Times New Roman" w:hAnsi="Times New Roman"/>
          <w:b/>
          <w:bCs/>
          <w:sz w:val="24"/>
          <w:szCs w:val="24"/>
          <w:lang w:val="uk-UA"/>
        </w:rPr>
      </w:pPr>
      <w:bookmarkStart w:id="0" w:name="_GoBack"/>
      <w:bookmarkEnd w:id="0"/>
    </w:p>
    <w:p w:rsidR="00B845F4" w:rsidRDefault="00B845F4" w:rsidP="00B845F4">
      <w:pPr>
        <w:pStyle w:val="1"/>
        <w:jc w:val="right"/>
        <w:rPr>
          <w:rFonts w:ascii="Times New Roman" w:hAnsi="Times New Roman"/>
          <w:b/>
          <w:bCs/>
          <w:sz w:val="24"/>
          <w:szCs w:val="24"/>
          <w:lang w:val="uk-UA"/>
        </w:rPr>
      </w:pPr>
    </w:p>
    <w:p w:rsidR="009126A9" w:rsidRPr="00B845F4" w:rsidRDefault="009126A9" w:rsidP="00B845F4"/>
    <w:sectPr w:rsidR="009126A9" w:rsidRPr="00B845F4" w:rsidSect="006A5C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7336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9D7FDB"/>
    <w:multiLevelType w:val="hybridMultilevel"/>
    <w:tmpl w:val="2C46E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8275C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39522C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6795"/>
    <w:rsid w:val="00522C82"/>
    <w:rsid w:val="00546795"/>
    <w:rsid w:val="006A5CA2"/>
    <w:rsid w:val="00842515"/>
    <w:rsid w:val="008A0B3F"/>
    <w:rsid w:val="009126A9"/>
    <w:rsid w:val="00B845F4"/>
    <w:rsid w:val="00E6067E"/>
    <w:rsid w:val="00EE3D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
    <w:locked/>
    <w:rsid w:val="00B845F4"/>
    <w:rPr>
      <w:rFonts w:ascii="Calibri" w:eastAsia="Times New Roman" w:hAnsi="Calibri" w:cs="Times New Roman"/>
    </w:rPr>
  </w:style>
  <w:style w:type="paragraph" w:customStyle="1" w:styleId="10">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79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54679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6795"/>
    <w:rPr>
      <w:rFonts w:asciiTheme="majorHAnsi" w:eastAsiaTheme="majorEastAsia" w:hAnsiTheme="majorHAnsi" w:cstheme="majorBidi"/>
      <w:b/>
      <w:bCs/>
      <w:color w:val="4F81BD" w:themeColor="accent1"/>
      <w:sz w:val="24"/>
      <w:szCs w:val="24"/>
      <w:lang w:eastAsia="ru-RU"/>
    </w:rPr>
  </w:style>
  <w:style w:type="paragraph" w:styleId="a3">
    <w:name w:val="Body Text"/>
    <w:aliases w:val=" Знак"/>
    <w:basedOn w:val="a"/>
    <w:link w:val="a4"/>
    <w:unhideWhenUsed/>
    <w:rsid w:val="00546795"/>
    <w:pPr>
      <w:spacing w:after="120"/>
    </w:pPr>
  </w:style>
  <w:style w:type="character" w:customStyle="1" w:styleId="a4">
    <w:name w:val="Основной текст Знак"/>
    <w:aliases w:val=" Знак Знак1"/>
    <w:basedOn w:val="a0"/>
    <w:link w:val="a3"/>
    <w:rsid w:val="00546795"/>
    <w:rPr>
      <w:rFonts w:ascii="Times New Roman" w:eastAsia="Times New Roman" w:hAnsi="Times New Roman" w:cs="Times New Roman"/>
      <w:sz w:val="24"/>
      <w:szCs w:val="24"/>
      <w:lang w:eastAsia="ru-RU"/>
    </w:rPr>
  </w:style>
  <w:style w:type="paragraph" w:styleId="a5">
    <w:name w:val="List Paragraph"/>
    <w:basedOn w:val="a"/>
    <w:uiPriority w:val="34"/>
    <w:qFormat/>
    <w:rsid w:val="008A0B3F"/>
    <w:pPr>
      <w:spacing w:after="200" w:line="276" w:lineRule="auto"/>
      <w:ind w:left="720"/>
      <w:contextualSpacing/>
    </w:pPr>
    <w:rPr>
      <w:rFonts w:ascii="Calibri" w:eastAsia="Calibri" w:hAnsi="Calibri"/>
      <w:sz w:val="22"/>
      <w:szCs w:val="22"/>
      <w:lang w:eastAsia="en-US"/>
    </w:rPr>
  </w:style>
  <w:style w:type="paragraph" w:customStyle="1" w:styleId="1">
    <w:name w:val="Без интервала1"/>
    <w:link w:val="NoSpacingChar"/>
    <w:rsid w:val="00B845F4"/>
    <w:pPr>
      <w:spacing w:after="0" w:line="240" w:lineRule="auto"/>
    </w:pPr>
    <w:rPr>
      <w:rFonts w:ascii="Calibri" w:eastAsia="Times New Roman" w:hAnsi="Calibri" w:cs="Times New Roman"/>
    </w:rPr>
  </w:style>
  <w:style w:type="character" w:customStyle="1" w:styleId="NoSpacingChar">
    <w:name w:val="No Spacing Char"/>
    <w:link w:val="1"/>
    <w:locked/>
    <w:rsid w:val="00B845F4"/>
    <w:rPr>
      <w:rFonts w:ascii="Calibri" w:eastAsia="Times New Roman" w:hAnsi="Calibri" w:cs="Times New Roman"/>
    </w:rPr>
  </w:style>
  <w:style w:type="paragraph" w:customStyle="1" w:styleId="10">
    <w:name w:val="Абзац списка1"/>
    <w:basedOn w:val="a"/>
    <w:uiPriority w:val="99"/>
    <w:rsid w:val="00842515"/>
    <w:pPr>
      <w:spacing w:after="200" w:line="276" w:lineRule="auto"/>
      <w:ind w:left="720"/>
    </w:pPr>
    <w:rPr>
      <w:rFonts w:ascii="Calibri" w:hAnsi="Calibri"/>
      <w:sz w:val="22"/>
      <w:szCs w:val="22"/>
      <w:lang w:eastAsia="en-US"/>
    </w:rPr>
  </w:style>
  <w:style w:type="paragraph" w:styleId="a6">
    <w:name w:val="No Spacing"/>
    <w:link w:val="a7"/>
    <w:uiPriority w:val="1"/>
    <w:qFormat/>
    <w:rsid w:val="00842515"/>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842515"/>
    <w:rPr>
      <w:rFonts w:ascii="Calibri" w:eastAsia="Times New Roman" w:hAnsi="Calibri" w:cs="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894</Words>
  <Characters>5100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2018-05-08T08:46:00Z</dcterms:created>
  <dcterms:modified xsi:type="dcterms:W3CDTF">2018-05-08T08:46:00Z</dcterms:modified>
</cp:coreProperties>
</file>