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EBA" w:rsidRDefault="00BA6EBA" w:rsidP="00BA6EBA">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 xml:space="preserve">Довідка про підсумки роботи із зверненнями громадян, що надійшли </w:t>
      </w:r>
    </w:p>
    <w:p w:rsidR="00BA6EBA" w:rsidRDefault="00BA6EBA" w:rsidP="00BA6EBA">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 xml:space="preserve">до виконавчого комітету Знам’янської міської ради </w:t>
      </w:r>
    </w:p>
    <w:p w:rsidR="00BA6EBA" w:rsidRDefault="00BA6EBA" w:rsidP="00BA6EBA">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 xml:space="preserve">протягом </w:t>
      </w:r>
      <w:r w:rsidR="00E37F56">
        <w:rPr>
          <w:rFonts w:ascii="Times New Roman" w:hAnsi="Times New Roman"/>
          <w:b/>
          <w:bCs/>
          <w:sz w:val="24"/>
          <w:szCs w:val="24"/>
          <w:lang w:val="uk-UA"/>
        </w:rPr>
        <w:t>січня-вересня</w:t>
      </w:r>
      <w:bookmarkStart w:id="0" w:name="_GoBack"/>
      <w:bookmarkEnd w:id="0"/>
      <w:r>
        <w:rPr>
          <w:rFonts w:ascii="Times New Roman" w:hAnsi="Times New Roman"/>
          <w:b/>
          <w:bCs/>
          <w:sz w:val="24"/>
          <w:szCs w:val="24"/>
          <w:lang w:val="uk-UA"/>
        </w:rPr>
        <w:t xml:space="preserve"> 2021 року.</w:t>
      </w:r>
    </w:p>
    <w:p w:rsidR="00BA6EBA" w:rsidRDefault="00BA6EBA" w:rsidP="00BA6EBA">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Протягом ІІІ кварталу 2021 року до виконавчого комітету Знам`янської міської ради надійшло 1661 звернення громадян (у відповідний період 2020 року – 1150).</w:t>
      </w:r>
    </w:p>
    <w:p w:rsidR="00BA6EBA" w:rsidRDefault="00BA6EBA" w:rsidP="00BA6EBA">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 xml:space="preserve">Загальна кількість звернень – 1237 надійшло поштою (у відповідний період </w:t>
      </w:r>
      <w:r>
        <w:rPr>
          <w:rFonts w:ascii="Times New Roman" w:hAnsi="Times New Roman"/>
          <w:sz w:val="24"/>
          <w:szCs w:val="24"/>
          <w:lang w:val="uk-UA"/>
        </w:rPr>
        <w:br/>
        <w:t xml:space="preserve">2020 року – 792). </w:t>
      </w:r>
    </w:p>
    <w:p w:rsidR="00BA6EBA" w:rsidRDefault="00BA6EBA" w:rsidP="00BA6EBA">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На особистих прийомах міського голови звернулось 38 громадян (у відповідний період 2020 року – 41).</w:t>
      </w:r>
    </w:p>
    <w:p w:rsidR="00BA6EBA" w:rsidRDefault="00BA6EBA" w:rsidP="00BA6EBA">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органи вищого рівня протягом звітного періоду надійшло:</w:t>
      </w:r>
    </w:p>
    <w:p w:rsidR="00BA6EBA" w:rsidRDefault="00BA6EBA" w:rsidP="00BA6EBA">
      <w:pPr>
        <w:numPr>
          <w:ilvl w:val="0"/>
          <w:numId w:val="1"/>
        </w:num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Кіровоградську ОДА – 37 (у відповідний період 2020 року – 18);</w:t>
      </w:r>
    </w:p>
    <w:p w:rsidR="00BA6EBA" w:rsidRDefault="00BA6EBA" w:rsidP="00BA6EBA">
      <w:pPr>
        <w:numPr>
          <w:ilvl w:val="0"/>
          <w:numId w:val="1"/>
        </w:num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Обласний контактний центр та Урядову гарячу лінію – 346 (у відповідний період 2020 року – 297);</w:t>
      </w:r>
    </w:p>
    <w:p w:rsidR="00BA6EBA" w:rsidRDefault="00BA6EBA" w:rsidP="00BA6EBA">
      <w:pPr>
        <w:numPr>
          <w:ilvl w:val="0"/>
          <w:numId w:val="1"/>
        </w:num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інші органи влади – 3 ( у відповідний період 2020 року – 2).</w:t>
      </w:r>
    </w:p>
    <w:p w:rsidR="00BA6EBA" w:rsidRDefault="00BA6EBA" w:rsidP="00BA6EBA">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Кількість колективних звернень протягом звітного періоду – 72 (у відповідний період 2020 року – 66), анонімних звернень – 9 (у відповідний період 2020 року – 4).</w:t>
      </w:r>
    </w:p>
    <w:p w:rsidR="00BA6EBA" w:rsidRDefault="00BA6EBA" w:rsidP="00BA6EBA">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Кількість громадян, які звернулися – 2706 (у відповідний період 2020 року – 1945).</w:t>
      </w:r>
    </w:p>
    <w:p w:rsidR="00BA6EBA" w:rsidRDefault="00BA6EBA" w:rsidP="00BA6EBA">
      <w:pPr>
        <w:autoSpaceDN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Основні питання, що порушувались у зверненнях громадян протягом 2021 року згідно Класифікатора звернень громадян:</w:t>
      </w:r>
    </w:p>
    <w:p w:rsidR="00BA6EBA" w:rsidRDefault="00BA6EBA" w:rsidP="00BA6EBA">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020 – аграрна політика і земельні відносини - 375 (за відповідний період 2020 року – 168); </w:t>
      </w:r>
    </w:p>
    <w:p w:rsidR="00BA6EBA" w:rsidRDefault="00BA6EBA" w:rsidP="00BA6EBA">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030 – транспорт і зв`язок – 5 (за відповідний період 2020 року – 12); </w:t>
      </w:r>
    </w:p>
    <w:p w:rsidR="00BA6EBA" w:rsidRDefault="00BA6EBA" w:rsidP="00BA6EBA">
      <w:pPr>
        <w:overflowPunct w:val="0"/>
        <w:autoSpaceDE w:val="0"/>
        <w:autoSpaceDN w:val="0"/>
        <w:adjustRightInd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040 – економічна, цінова, інвестиційна, зовнішньоекономічна, регіональна політика та будівництво, підприємництво – 39 (за відповідний період 2020 року – 30); </w:t>
      </w:r>
    </w:p>
    <w:p w:rsidR="00BA6EBA" w:rsidRDefault="00BA6EBA" w:rsidP="00BA6EBA">
      <w:pPr>
        <w:overflowPunct w:val="0"/>
        <w:autoSpaceDE w:val="0"/>
        <w:autoSpaceDN w:val="0"/>
        <w:adjustRightInd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050 – фінансова, податкова, митна політика – 5 (за відповідний період 2020 року – 3);</w:t>
      </w:r>
    </w:p>
    <w:p w:rsidR="00BA6EBA" w:rsidRDefault="00BA6EBA" w:rsidP="00BA6EBA">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060 – соціальна політика, соціальний захист – 511 (за відповідний період 2020 року – 432);</w:t>
      </w:r>
    </w:p>
    <w:p w:rsidR="00BA6EBA" w:rsidRDefault="00BA6EBA" w:rsidP="00BA6EBA">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070 – праця і заробітна плата – 147 (за відповідний період 2020 року – 104);</w:t>
      </w:r>
    </w:p>
    <w:p w:rsidR="00BA6EBA" w:rsidRDefault="00BA6EBA" w:rsidP="00BA6EBA">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090 – охорона здоров’я – 93 (за відповідний період 2020 року – 84);</w:t>
      </w:r>
    </w:p>
    <w:p w:rsidR="00BA6EBA" w:rsidRDefault="00BA6EBA" w:rsidP="00BA6EBA">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100 – комунальне господарство – 244 (за відповідний період 2020 року – 175);</w:t>
      </w:r>
    </w:p>
    <w:p w:rsidR="00BA6EBA" w:rsidRDefault="00BA6EBA" w:rsidP="00BA6EBA">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110 – житлова політика – 79 (за відповідний період 2020 року – 41);</w:t>
      </w:r>
    </w:p>
    <w:p w:rsidR="00BA6EBA" w:rsidRDefault="00BA6EBA" w:rsidP="00BA6EBA">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120 – екологія та природні ресурси – 14 (за відповідний період 2020 року – 8);</w:t>
      </w:r>
    </w:p>
    <w:p w:rsidR="00BA6EBA" w:rsidRDefault="00BA6EBA" w:rsidP="00BA6EBA">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130 – забезпечення дотримання законності та охорони правопорядку, реалізації прав і свобод громадян, запобігання дискримінації – 22 (за відповідний період 2020 року – 23);</w:t>
      </w:r>
    </w:p>
    <w:p w:rsidR="00BA6EBA" w:rsidRDefault="00BA6EBA" w:rsidP="00BA6EBA">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140 – сімейна та гендерна політика, захист прав дітей – 27 (за відповідний період</w:t>
      </w:r>
      <w:r>
        <w:rPr>
          <w:rFonts w:ascii="Times New Roman" w:hAnsi="Times New Roman"/>
          <w:sz w:val="24"/>
          <w:szCs w:val="24"/>
          <w:lang w:val="uk-UA" w:eastAsia="ru-RU"/>
        </w:rPr>
        <w:br/>
        <w:t>2020 року – 15);</w:t>
      </w:r>
    </w:p>
    <w:p w:rsidR="00BA6EBA" w:rsidRDefault="00BA6EBA" w:rsidP="00BA6EBA">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150 – молодь, фізична культура і спорт – 3 (за відповідний період 2020 року – 1);</w:t>
      </w:r>
    </w:p>
    <w:p w:rsidR="00BA6EBA" w:rsidRDefault="00BA6EBA" w:rsidP="00BA6EBA">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160 – культура та культурна спадщина, туризм – 4 (за відповідний період 2020 року – 3);</w:t>
      </w:r>
    </w:p>
    <w:p w:rsidR="00BA6EBA" w:rsidRDefault="00BA6EBA" w:rsidP="00BA6EBA">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170 – освіта, наукова, науково-технічна, інноваційна діяльність та інтелектуальна власність – 20 (за відповідний період 2020 року – 4);</w:t>
      </w:r>
    </w:p>
    <w:p w:rsidR="00BA6EBA" w:rsidRDefault="00BA6EBA" w:rsidP="00BA6EBA">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180 – інформаційна політика, діяльність засобів масової інформації – 10(за відповідний період 2020 року -1);</w:t>
      </w:r>
    </w:p>
    <w:p w:rsidR="00BA6EBA" w:rsidRDefault="00BA6EBA" w:rsidP="00BA6EBA">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230 – діяльність органів місцевого самоврядування - 0 (за відповідний період 2020 року - 2);</w:t>
      </w:r>
    </w:p>
    <w:p w:rsidR="00BA6EBA" w:rsidRDefault="00BA6EBA" w:rsidP="00BA6EBA">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270 – інше – 88 (за відповідний період 2020 року – 55).</w:t>
      </w:r>
      <w:r>
        <w:rPr>
          <w:rFonts w:ascii="Times New Roman" w:hAnsi="Times New Roman"/>
          <w:sz w:val="24"/>
          <w:szCs w:val="24"/>
          <w:lang w:val="uk-UA" w:eastAsia="ru-RU"/>
        </w:rPr>
        <w:tab/>
      </w:r>
    </w:p>
    <w:p w:rsidR="00BA6EBA" w:rsidRDefault="00BA6EBA" w:rsidP="00BA6EBA">
      <w:pPr>
        <w:autoSpaceDN w:val="0"/>
        <w:spacing w:after="0" w:line="240" w:lineRule="auto"/>
        <w:ind w:firstLine="708"/>
        <w:jc w:val="both"/>
        <w:rPr>
          <w:rFonts w:ascii="Times New Roman" w:hAnsi="Times New Roman"/>
          <w:sz w:val="24"/>
          <w:szCs w:val="24"/>
          <w:lang w:val="uk-UA" w:eastAsia="ru-RU"/>
        </w:rPr>
      </w:pPr>
      <w:r>
        <w:rPr>
          <w:rFonts w:ascii="Times New Roman" w:hAnsi="Times New Roman"/>
          <w:i/>
          <w:sz w:val="24"/>
          <w:szCs w:val="24"/>
          <w:lang w:val="uk-UA" w:eastAsia="ru-RU"/>
        </w:rPr>
        <w:t xml:space="preserve">За соціальним станом авторів звернень: </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пенсіонерів – 234;</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пенсіонерів з числа військовослужбовців – 15; </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робітників – 45;</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селяни – 1;</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працівники бюджетної сфери – 1;</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державних службовців – 2;</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військовослужбовців – 3;</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підприємців – 16;</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безробітних – 32;</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lastRenderedPageBreak/>
        <w:t>- учнів, студентів – 2;</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інших – 1310.</w:t>
      </w:r>
    </w:p>
    <w:p w:rsidR="00BA6EBA" w:rsidRDefault="00BA6EBA" w:rsidP="00BA6EBA">
      <w:pPr>
        <w:autoSpaceDN w:val="0"/>
        <w:spacing w:after="0" w:line="240" w:lineRule="auto"/>
        <w:ind w:firstLine="708"/>
        <w:jc w:val="both"/>
        <w:rPr>
          <w:rFonts w:ascii="Times New Roman" w:hAnsi="Times New Roman"/>
          <w:sz w:val="24"/>
          <w:szCs w:val="24"/>
          <w:lang w:val="uk-UA" w:eastAsia="ru-RU"/>
        </w:rPr>
      </w:pPr>
      <w:r>
        <w:rPr>
          <w:rFonts w:ascii="Times New Roman" w:hAnsi="Times New Roman"/>
          <w:i/>
          <w:sz w:val="24"/>
          <w:szCs w:val="24"/>
          <w:lang w:val="uk-UA" w:eastAsia="ru-RU"/>
        </w:rPr>
        <w:t xml:space="preserve">За категоріями авторів звернень: </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учасників війни – 5;</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дітей війни – 16;</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внаслідок війни – 1;</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учасників бойових дій – 27;</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ветеранів праці – 4;</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 групи – 24;</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ІІ групи – 47;</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ІІІ групи – 36;</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одиноких матерів – 17;</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мати-героїнь – 1;</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багатодітних сімей – 13; </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учасників ліквідації наслідків аварії на ЧАЕС – 3;</w:t>
      </w:r>
    </w:p>
    <w:p w:rsidR="00BA6EBA" w:rsidRDefault="00BA6EBA" w:rsidP="00BA6EBA">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інших категорій – 1467. </w:t>
      </w:r>
    </w:p>
    <w:p w:rsidR="00BA6EBA" w:rsidRDefault="00BA6EBA" w:rsidP="00BA6EBA">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Всі звернення розглянуті, дані відповідні доручення виконавцям. Найактуальнішими та пріоритетними питаннями були питання соціального захисту. Кількість звернень у яких порушено питання становить – 511 (у порівняні з 2020 роком – 432), найбільше це питання: надання матеріальної допомоги на лікування, на вирішення соціально-побутових питань, призначення та виплати соціальних допомог, субсидій, правильності їх нарахування та ін.</w:t>
      </w:r>
    </w:p>
    <w:p w:rsidR="00BA6EBA" w:rsidRDefault="00BA6EBA" w:rsidP="00BA6EBA">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Актуальними залишаються питання надання земельних ділянок, набуття права власності на землю, поновлення терміну дії оренди землі, надання дозволу на виготовлення проекту землеустрою. Питома вага звернень, у яких порушувались земельні питання становить 375 (за відповідний період 2020 року надійшло - 168). </w:t>
      </w:r>
    </w:p>
    <w:p w:rsidR="00BA6EBA" w:rsidRDefault="00BA6EBA" w:rsidP="00BA6EBA">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Проведений аналіз звернень, які надійшли до виконавчого комітету, підтвердив актуальність питань житлово-комунального господарства, а саме: проведення ремонту житлових будинків, ремонту покрівель, під’їздів, відмосток, внутрішньо-будинкових мереж водопостачання та електропостачання, ремонт доріг та тротуарів, відновлення зовнішнього освітлення, санітарний стан прибудинкових територій та ін. Протягом звітного періоду кількість таких звернень становила – 244 (у порівнянні з аналогічним періодом 2020 року – 175).</w:t>
      </w:r>
    </w:p>
    <w:p w:rsidR="00BA6EBA" w:rsidRDefault="00BA6EBA" w:rsidP="00BA6EBA">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Зверненням громадян приділяється належна увага. У кожному випадку заявникам надається допомога або вишукуються шляхи вирішення їх проблем, надаються аргументовані відповіді та роз`яснення. </w:t>
      </w:r>
    </w:p>
    <w:p w:rsidR="00BA6EBA" w:rsidRDefault="00BA6EBA" w:rsidP="00BA6EBA">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До управління соціального захисту населення виконавчого комітету Знам’янської міської ради надійшло 504 письмових звернень громадян, безпосередньо до управління -61. В зверненнях найчастіше мешканці міста порушували питання: надання матеріальної допомоги на лікування, придбання ліків; нарахування субсидій на житлово-комунальні послуги; призначення та виплата державних соціальних допомог; надання пільг за фактичним місцем проживання.</w:t>
      </w:r>
    </w:p>
    <w:p w:rsidR="00BA6EBA" w:rsidRDefault="00BA6EBA" w:rsidP="00BA6EBA">
      <w:pPr>
        <w:shd w:val="clear" w:color="auto" w:fill="FFFFFF"/>
        <w:spacing w:after="0" w:line="240" w:lineRule="auto"/>
        <w:ind w:firstLine="450"/>
        <w:jc w:val="both"/>
        <w:rPr>
          <w:rFonts w:ascii="Times New Roman" w:eastAsia="Times New Roman" w:hAnsi="Times New Roman"/>
          <w:sz w:val="24"/>
          <w:szCs w:val="24"/>
          <w:lang w:val="uk-UA" w:eastAsia="ru-RU"/>
        </w:rPr>
      </w:pPr>
      <w:bookmarkStart w:id="1" w:name="n67"/>
      <w:bookmarkEnd w:id="1"/>
      <w:r>
        <w:rPr>
          <w:rFonts w:ascii="Times New Roman" w:eastAsia="Times New Roman" w:hAnsi="Times New Roman"/>
          <w:sz w:val="24"/>
          <w:szCs w:val="24"/>
          <w:lang w:val="uk-UA" w:eastAsia="ru-RU"/>
        </w:rPr>
        <w:t xml:space="preserve">Протягом звітного періоду прийнято рішення про надання соціальних  послуг: </w:t>
      </w:r>
      <w:r>
        <w:rPr>
          <w:rFonts w:ascii="Times New Roman" w:eastAsia="Times New Roman" w:hAnsi="Times New Roman"/>
          <w:spacing w:val="-2"/>
          <w:sz w:val="24"/>
          <w:szCs w:val="24"/>
          <w:lang w:val="uk-UA" w:eastAsia="ru-RU"/>
        </w:rPr>
        <w:t>догляд вдома, натуральна допомога, соціальна адаптація  - 140 особам;  догляд стаціонарний - 13 особам;</w:t>
      </w:r>
      <w:r>
        <w:rPr>
          <w:rFonts w:ascii="Times New Roman" w:eastAsia="Times New Roman" w:hAnsi="Times New Roman"/>
          <w:sz w:val="24"/>
          <w:szCs w:val="24"/>
          <w:lang w:val="uk-UA" w:eastAsia="ru-RU"/>
        </w:rPr>
        <w:t xml:space="preserve"> </w:t>
      </w:r>
      <w:r>
        <w:rPr>
          <w:rFonts w:ascii="Times New Roman" w:eastAsia="Times New Roman" w:hAnsi="Times New Roman"/>
          <w:color w:val="000000"/>
          <w:spacing w:val="-2"/>
          <w:sz w:val="24"/>
          <w:szCs w:val="24"/>
          <w:lang w:val="uk-UA" w:eastAsia="ru-RU"/>
        </w:rPr>
        <w:t>консультування</w:t>
      </w:r>
      <w:r>
        <w:rPr>
          <w:rFonts w:ascii="Times New Roman" w:eastAsia="Times New Roman" w:hAnsi="Times New Roman"/>
          <w:color w:val="000000"/>
          <w:sz w:val="24"/>
          <w:szCs w:val="24"/>
          <w:lang w:val="uk-UA" w:eastAsia="ru-RU"/>
        </w:rPr>
        <w:t xml:space="preserve"> - 5 особам; </w:t>
      </w:r>
      <w:r>
        <w:rPr>
          <w:rFonts w:ascii="Times New Roman" w:eastAsia="Times New Roman" w:hAnsi="Times New Roman"/>
          <w:spacing w:val="-2"/>
          <w:sz w:val="24"/>
          <w:szCs w:val="24"/>
          <w:lang w:val="uk-UA" w:eastAsia="ru-RU"/>
        </w:rPr>
        <w:t>соціальний супровід сімей/осіб, які перебувають у складних життєвих обставинах - 2 особам. Т</w:t>
      </w:r>
      <w:r>
        <w:rPr>
          <w:rFonts w:ascii="Times New Roman" w:eastAsia="Times New Roman" w:hAnsi="Times New Roman"/>
          <w:sz w:val="24"/>
          <w:szCs w:val="24"/>
          <w:lang w:val="uk-UA" w:eastAsia="ru-RU"/>
        </w:rPr>
        <w:t>ериторіальним центром 22 особи забезпечені інвалідними візками, ходунками, милицями з пункту прокату терцентру.</w:t>
      </w:r>
    </w:p>
    <w:p w:rsidR="00BA6EBA" w:rsidRDefault="00BA6EBA" w:rsidP="00BA6EBA">
      <w:pPr>
        <w:shd w:val="clear" w:color="auto" w:fill="FFFFFF"/>
        <w:spacing w:after="0" w:line="240" w:lineRule="auto"/>
        <w:ind w:firstLine="45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«Соціальним таксі» виконано 97 замовлень: доставка 74 ветеранів та осіб з інвалідністю до медичних закладів міста і області, протезного цеху, Кіровоградського обласного госпіталю для ветеранів війни, </w:t>
      </w:r>
      <w:proofErr w:type="spellStart"/>
      <w:r>
        <w:rPr>
          <w:rFonts w:ascii="Times New Roman" w:eastAsia="Times New Roman" w:hAnsi="Times New Roman"/>
          <w:sz w:val="24"/>
          <w:szCs w:val="24"/>
          <w:lang w:val="uk-UA" w:eastAsia="ru-RU"/>
        </w:rPr>
        <w:t>ЛТЕКів</w:t>
      </w:r>
      <w:proofErr w:type="spellEnd"/>
      <w:r>
        <w:rPr>
          <w:rFonts w:ascii="Times New Roman" w:eastAsia="Times New Roman" w:hAnsi="Times New Roman"/>
          <w:sz w:val="24"/>
          <w:szCs w:val="24"/>
          <w:lang w:val="uk-UA" w:eastAsia="ru-RU"/>
        </w:rPr>
        <w:t xml:space="preserve">. </w:t>
      </w:r>
    </w:p>
    <w:p w:rsidR="00BA6EBA" w:rsidRDefault="00BA6EBA" w:rsidP="00BA6EBA">
      <w:pPr>
        <w:spacing w:after="0" w:line="240" w:lineRule="auto"/>
        <w:ind w:firstLine="705"/>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Обстежено житлово-побутові умови проживання 92 пенсіонерів та осіб з інвалідністю, з них 65 осіб, які потребували сторонньої допомоги, прийнято на </w:t>
      </w:r>
      <w:r>
        <w:rPr>
          <w:rFonts w:ascii="Times New Roman" w:eastAsia="Times New Roman" w:hAnsi="Times New Roman"/>
          <w:sz w:val="24"/>
          <w:szCs w:val="24"/>
          <w:lang w:val="uk-UA" w:eastAsia="ru-RU"/>
        </w:rPr>
        <w:lastRenderedPageBreak/>
        <w:t>обслуговування відділенням соціальної допомоги вдома, припинено надання соціальної послуги догляду вдома з різних причин 68 особам. З метою контролю якості обслуговування та визначення ступеня індивідуальних потреб здійснені обстеження умов проживання 159 осіб, які перебувають на обліку тер центру.</w:t>
      </w:r>
    </w:p>
    <w:p w:rsidR="00BA6EBA" w:rsidRDefault="00BA6EBA" w:rsidP="00BA6EBA">
      <w:pPr>
        <w:spacing w:after="0" w:line="240" w:lineRule="auto"/>
        <w:ind w:firstLine="705"/>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Центром соціальних та компенсаційних виплат  нараховується  5667 отримувачів адресних допомог, в тому числі: адресних соціальних допомог – 2175; субсидій - 3211; компенсацій постраждалим внаслідок аварії на ЧАЕС – 151; допомога переміщеним особам – 130.</w:t>
      </w:r>
    </w:p>
    <w:p w:rsidR="00BA6EBA" w:rsidRDefault="00BA6EBA" w:rsidP="00BA6EBA">
      <w:pPr>
        <w:spacing w:after="0" w:line="240" w:lineRule="auto"/>
        <w:ind w:firstLine="705"/>
        <w:jc w:val="both"/>
        <w:rPr>
          <w:rFonts w:ascii="Times New Roman" w:hAnsi="Times New Roman"/>
          <w:sz w:val="24"/>
          <w:szCs w:val="24"/>
          <w:lang w:val="uk-UA"/>
        </w:rPr>
      </w:pPr>
      <w:r>
        <w:rPr>
          <w:rFonts w:ascii="Times New Roman" w:hAnsi="Times New Roman"/>
          <w:sz w:val="24"/>
          <w:szCs w:val="24"/>
          <w:lang w:val="uk-UA"/>
        </w:rPr>
        <w:t xml:space="preserve">Призначено допомоги згідно Законів України «Про державну допомогу сім’ям з дітьми» та «Державну  соціальну допомогу  малозабезпеченим  сім’ям»  1620 сім’ям  на суму 48286,1 </w:t>
      </w:r>
      <w:proofErr w:type="spellStart"/>
      <w:r>
        <w:rPr>
          <w:rFonts w:ascii="Times New Roman" w:hAnsi="Times New Roman"/>
          <w:sz w:val="24"/>
          <w:szCs w:val="24"/>
          <w:lang w:val="uk-UA"/>
        </w:rPr>
        <w:t>тис.грн</w:t>
      </w:r>
      <w:proofErr w:type="spellEnd"/>
      <w:r>
        <w:rPr>
          <w:rFonts w:ascii="Times New Roman" w:hAnsi="Times New Roman"/>
          <w:sz w:val="24"/>
          <w:szCs w:val="24"/>
          <w:lang w:val="uk-UA"/>
        </w:rPr>
        <w:t xml:space="preserve">., у тому числі державну соціальну допомогу дітям з інвалідністю та особам з інвалідністю з дитинства І-ІІІ груп отримали  477 осіб на суму 10232,5 тис. грн., тимчасову допомогу сім’ям з дітьми (замість аліментів) – 12 осіб на суму 121,5 тис. грн. Допомогу по догляду за психічно-хворими особами з інвалідністю І та ІІ </w:t>
      </w:r>
      <w:proofErr w:type="spellStart"/>
      <w:r>
        <w:rPr>
          <w:rFonts w:ascii="Times New Roman" w:hAnsi="Times New Roman"/>
          <w:sz w:val="24"/>
          <w:szCs w:val="24"/>
          <w:lang w:val="uk-UA"/>
        </w:rPr>
        <w:t>групп</w:t>
      </w:r>
      <w:proofErr w:type="spellEnd"/>
      <w:r>
        <w:rPr>
          <w:rFonts w:ascii="Times New Roman" w:hAnsi="Times New Roman"/>
          <w:sz w:val="24"/>
          <w:szCs w:val="24"/>
          <w:lang w:val="uk-UA"/>
        </w:rPr>
        <w:t xml:space="preserve"> отримують 59 осіб.</w:t>
      </w:r>
    </w:p>
    <w:p w:rsidR="00BA6EBA" w:rsidRDefault="00BA6EBA" w:rsidP="00BA6EBA">
      <w:pPr>
        <w:spacing w:after="0" w:line="240" w:lineRule="auto"/>
        <w:jc w:val="both"/>
        <w:rPr>
          <w:rFonts w:ascii="Times New Roman" w:hAnsi="Times New Roman"/>
          <w:sz w:val="24"/>
          <w:szCs w:val="24"/>
          <w:lang w:val="uk-UA"/>
        </w:rPr>
      </w:pPr>
      <w:r>
        <w:rPr>
          <w:rFonts w:ascii="Times New Roman" w:hAnsi="Times New Roman"/>
          <w:sz w:val="24"/>
          <w:szCs w:val="24"/>
          <w:lang w:val="uk-UA"/>
        </w:rPr>
        <w:t>          Станом на звітну дату профінансовано субвенції з державного бюджету на надання населенню пільг та субсидій на житлово-комунальні послуги, придбання твердого палива і скрапленого газу на суму  33499,3 тис. грн.</w:t>
      </w:r>
    </w:p>
    <w:p w:rsidR="00BA6EBA" w:rsidRDefault="00BA6EBA" w:rsidP="00BA6EBA">
      <w:pPr>
        <w:spacing w:after="0" w:line="240" w:lineRule="auto"/>
        <w:ind w:firstLine="748"/>
        <w:jc w:val="both"/>
        <w:rPr>
          <w:rFonts w:ascii="Times New Roman" w:hAnsi="Times New Roman"/>
          <w:sz w:val="24"/>
          <w:szCs w:val="24"/>
          <w:lang w:val="uk-UA"/>
        </w:rPr>
      </w:pPr>
      <w:r>
        <w:rPr>
          <w:rFonts w:ascii="Times New Roman" w:hAnsi="Times New Roman"/>
          <w:sz w:val="24"/>
          <w:szCs w:val="24"/>
          <w:lang w:val="uk-UA"/>
        </w:rPr>
        <w:t>Станом на 25.09.2021 р.  на обліку в УСЗН перебуває 279 внутрішньо переміщених осіб з тимчасово окупованої території України та районів проведення АТО/ООС. Довідки про взяття на облік видано 532 особам.</w:t>
      </w:r>
    </w:p>
    <w:p w:rsidR="00BA6EBA" w:rsidRDefault="00BA6EBA" w:rsidP="00BA6EBA">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На обліку в управлінні перебуває 2 прийомні сім’ї, що отримують допомогу за принципом «гроші ходять за дитиною», 10 дитячих будинків сімейного типу, 2 патронатні сім’ї. За звітний період цим сім’ям виплачено 5157,0 тис. грн. </w:t>
      </w:r>
    </w:p>
    <w:p w:rsidR="00BA6EBA" w:rsidRDefault="00BA6EBA" w:rsidP="00BA6EBA">
      <w:pPr>
        <w:spacing w:after="0" w:line="240" w:lineRule="auto"/>
        <w:ind w:firstLine="72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Діє міська комісія «Турбота і милосердя», за рішенням якої матеріальну допомогу у звітному періоді 2021 року отримали  407 осіб на суму 944,8 </w:t>
      </w:r>
      <w:proofErr w:type="spellStart"/>
      <w:r>
        <w:rPr>
          <w:rFonts w:ascii="Times New Roman" w:eastAsia="Times New Roman" w:hAnsi="Times New Roman"/>
          <w:sz w:val="24"/>
          <w:szCs w:val="24"/>
          <w:lang w:val="uk-UA" w:eastAsia="ru-RU"/>
        </w:rPr>
        <w:t>тис.грн</w:t>
      </w:r>
      <w:proofErr w:type="spellEnd"/>
      <w:r>
        <w:rPr>
          <w:rFonts w:ascii="Times New Roman" w:eastAsia="Times New Roman" w:hAnsi="Times New Roman"/>
          <w:sz w:val="24"/>
          <w:szCs w:val="24"/>
          <w:lang w:val="uk-UA" w:eastAsia="ru-RU"/>
        </w:rPr>
        <w:t xml:space="preserve">. </w:t>
      </w:r>
    </w:p>
    <w:p w:rsidR="00BA6EBA" w:rsidRDefault="00BA6EBA" w:rsidP="00BA6EBA">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Спеціалісти управління постійно проводять інформаційно-роз’яснювальну роботу серед населення міста щодо соціального захисту населення та роботи управління через засоби масової інформації.</w:t>
      </w:r>
    </w:p>
    <w:p w:rsidR="00BA6EBA" w:rsidRDefault="00BA6EBA" w:rsidP="00BA6EBA">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Протягом відповідного періоду було проведено 9 засідань міської постійно діючої комісії виконавчого комітету Знам’янської міської ради з питань розгляду звернень громадян, згідно графіку. За результатами проведених перевірок складено довідки та розглянуто їх на засіданнях міської постійно діючої комісії з питань розгляду звернень громадян. Начальникам управлінь, відділів, служб, центрів виконавчого комітету Знам’янської міської ради рекомендовано здійснювати контроль за дотриманням термінів при розгляді звернень громадян, якості та вичерпності відповідей, звертати увагу на недопущення надання неоднозначних, необґрунтованих або неповних відповідей заявника.</w:t>
      </w:r>
    </w:p>
    <w:p w:rsidR="00BA6EBA" w:rsidRDefault="00BA6EBA" w:rsidP="00BA6EBA">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Забезпечено оперативний розгляд звернень та своєчасне інформування заявників. Відсутні зауваження щодо організації роботи із зверненнями громадян у виконавчому комітеті Знам’янської міської ради. Згідно інформації щодо реагування на звернення громадян, які надійшли протягом січня-вересня 2021 року:</w:t>
      </w:r>
    </w:p>
    <w:p w:rsidR="00BA6EBA" w:rsidRDefault="00BA6EBA" w:rsidP="00BA6EBA">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856 - позитивно вирішених звернень;</w:t>
      </w:r>
    </w:p>
    <w:p w:rsidR="00BA6EBA" w:rsidRDefault="00BA6EBA" w:rsidP="00BA6EBA">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684 – дано роз’яснення;</w:t>
      </w:r>
    </w:p>
    <w:p w:rsidR="00BA6EBA" w:rsidRDefault="00BA6EBA" w:rsidP="00BA6EBA">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2 – </w:t>
      </w:r>
      <w:proofErr w:type="spellStart"/>
      <w:r>
        <w:rPr>
          <w:rFonts w:ascii="Times New Roman" w:hAnsi="Times New Roman"/>
          <w:sz w:val="24"/>
          <w:szCs w:val="24"/>
        </w:rPr>
        <w:t>надіслано</w:t>
      </w:r>
      <w:proofErr w:type="spellEnd"/>
      <w:r>
        <w:rPr>
          <w:rFonts w:ascii="Times New Roman" w:hAnsi="Times New Roman"/>
          <w:sz w:val="24"/>
          <w:szCs w:val="24"/>
        </w:rPr>
        <w:t xml:space="preserve"> за </w:t>
      </w:r>
      <w:proofErr w:type="spellStart"/>
      <w:r>
        <w:rPr>
          <w:rFonts w:ascii="Times New Roman" w:hAnsi="Times New Roman"/>
          <w:sz w:val="24"/>
          <w:szCs w:val="24"/>
        </w:rPr>
        <w:t>належністю</w:t>
      </w:r>
      <w:proofErr w:type="spellEnd"/>
      <w:r>
        <w:rPr>
          <w:rFonts w:ascii="Times New Roman" w:hAnsi="Times New Roman"/>
          <w:sz w:val="24"/>
          <w:szCs w:val="24"/>
        </w:rPr>
        <w:t xml:space="preserve"> (ст. </w:t>
      </w:r>
      <w:proofErr w:type="gramStart"/>
      <w:r>
        <w:rPr>
          <w:rFonts w:ascii="Times New Roman" w:hAnsi="Times New Roman"/>
          <w:sz w:val="24"/>
          <w:szCs w:val="24"/>
        </w:rPr>
        <w:t xml:space="preserve">7 Закону </w:t>
      </w:r>
      <w:proofErr w:type="spellStart"/>
      <w:r>
        <w:rPr>
          <w:rFonts w:ascii="Times New Roman" w:hAnsi="Times New Roman"/>
          <w:sz w:val="24"/>
          <w:szCs w:val="24"/>
        </w:rPr>
        <w:t>України</w:t>
      </w:r>
      <w:proofErr w:type="spellEnd"/>
      <w:r>
        <w:rPr>
          <w:rFonts w:ascii="Times New Roman" w:hAnsi="Times New Roman"/>
          <w:sz w:val="24"/>
          <w:szCs w:val="24"/>
        </w:rPr>
        <w:t xml:space="preserve"> "Про </w:t>
      </w:r>
      <w:proofErr w:type="spellStart"/>
      <w:r>
        <w:rPr>
          <w:rFonts w:ascii="Times New Roman" w:hAnsi="Times New Roman"/>
          <w:sz w:val="24"/>
          <w:szCs w:val="24"/>
        </w:rPr>
        <w:t>звернення</w:t>
      </w:r>
      <w:proofErr w:type="spellEnd"/>
      <w:r>
        <w:rPr>
          <w:rFonts w:ascii="Times New Roman" w:hAnsi="Times New Roman"/>
          <w:sz w:val="24"/>
          <w:szCs w:val="24"/>
        </w:rPr>
        <w:t xml:space="preserve"> </w:t>
      </w:r>
      <w:proofErr w:type="spellStart"/>
      <w:r>
        <w:rPr>
          <w:rFonts w:ascii="Times New Roman" w:hAnsi="Times New Roman"/>
          <w:sz w:val="24"/>
          <w:szCs w:val="24"/>
        </w:rPr>
        <w:t>громадян</w:t>
      </w:r>
      <w:proofErr w:type="spellEnd"/>
      <w:r>
        <w:rPr>
          <w:rFonts w:ascii="Times New Roman" w:hAnsi="Times New Roman"/>
          <w:sz w:val="24"/>
          <w:szCs w:val="24"/>
        </w:rPr>
        <w:t>")</w:t>
      </w:r>
      <w:r>
        <w:rPr>
          <w:rFonts w:ascii="Times New Roman" w:hAnsi="Times New Roman"/>
          <w:sz w:val="24"/>
          <w:szCs w:val="24"/>
          <w:lang w:val="uk-UA"/>
        </w:rPr>
        <w:t>;</w:t>
      </w:r>
      <w:proofErr w:type="gramEnd"/>
    </w:p>
    <w:p w:rsidR="00BA6EBA" w:rsidRDefault="00BA6EBA" w:rsidP="00BA6EBA">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119 – заходи вживаються.</w:t>
      </w:r>
    </w:p>
    <w:p w:rsidR="00BA6EBA" w:rsidRDefault="00BA6EBA" w:rsidP="00BA6EBA">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З метою забезпечення інформованості громадськості про стан роботи зі зверненнями громадян на офіційному веб-сайті Знам’янської міської ради у розділі «Звернення громадян» щокварталу оприлюднюються узагальнені відомості про організацію роботи із зверненнями громадян.</w:t>
      </w:r>
    </w:p>
    <w:p w:rsidR="00BA6EBA" w:rsidRDefault="00BA6EBA" w:rsidP="00BA6EBA">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Всі звернення, що надходять до міськвиконкому, міський голова розглядає особисто, дає відповідні доручення виконавцям. Від виконавців міський голова вимагає </w:t>
      </w:r>
      <w:r>
        <w:rPr>
          <w:rFonts w:ascii="Times New Roman" w:hAnsi="Times New Roman"/>
          <w:sz w:val="24"/>
          <w:szCs w:val="24"/>
          <w:lang w:val="uk-UA" w:eastAsia="ru-RU"/>
        </w:rPr>
        <w:lastRenderedPageBreak/>
        <w:t>позитивного вирішення питань, що належать до їх компетенції. Заявники обов`язково повідомляються про результати розгляду їх звернень у терміни, визначені законодавством України.</w:t>
      </w:r>
    </w:p>
    <w:p w:rsidR="00BA6EBA" w:rsidRDefault="00BA6EBA" w:rsidP="00BA6EBA">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Особлива увага приділяється вирішенню питань, які порушують ветерани війни і праці, інваліди, учасники АТО, пенсіонери, особи, які постраждали внаслідок аварії на ЧАЕС, багатодітні сім`ї, діти-інваліди, одинокі матері та особи, які потребують соціального захисту та підтримки.</w:t>
      </w:r>
    </w:p>
    <w:p w:rsidR="00BA6EBA" w:rsidRDefault="00BA6EBA" w:rsidP="00BA6EBA">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Відмов працівниками виконавчого комітету у задоволенні права на звернення громадян не зафіксовано. Порушення Закону України «Про звернення громадян» при розгляді звернень громадян відсутні.</w:t>
      </w:r>
    </w:p>
    <w:p w:rsidR="00BA6EBA" w:rsidRDefault="00BA6EBA" w:rsidP="00BA6EBA">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Виконавчим комітетом Знам’янської міської ради вживаються всі можливі заходи щодо забезпечення реалізації конституційних прав громадянина на звернення, неухильного виконання норм Закону України «Про звернення громадян», упорядкування роботи із зверненнями громадян.</w:t>
      </w:r>
    </w:p>
    <w:p w:rsidR="00BA6EBA" w:rsidRDefault="00BA6EBA" w:rsidP="00BA6EBA">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Питання організації роботи зі зверненнями громадян перебуває на постійному контролі керівництва виконавчого комітету Знам’янської міської ради.</w:t>
      </w:r>
    </w:p>
    <w:p w:rsidR="0004714F" w:rsidRPr="00BA6EBA" w:rsidRDefault="0004714F">
      <w:pPr>
        <w:rPr>
          <w:lang w:val="uk-UA"/>
        </w:rPr>
      </w:pPr>
    </w:p>
    <w:sectPr w:rsidR="0004714F" w:rsidRPr="00BA6E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B776E1"/>
    <w:multiLevelType w:val="hybridMultilevel"/>
    <w:tmpl w:val="FD1A671E"/>
    <w:lvl w:ilvl="0" w:tplc="91C00062">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Times New Roman"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Times New Roman"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Times New Roman" w:hint="default"/>
      </w:rPr>
    </w:lvl>
    <w:lvl w:ilvl="8" w:tplc="04190005">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EBA"/>
    <w:rsid w:val="0004714F"/>
    <w:rsid w:val="00BA6EBA"/>
    <w:rsid w:val="00E3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EB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EB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4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1631</Words>
  <Characters>9301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Пошта0</dc:creator>
  <cp:lastModifiedBy>Пошта0</cp:lastModifiedBy>
  <cp:revision>2</cp:revision>
  <dcterms:created xsi:type="dcterms:W3CDTF">2021-10-25T10:58:00Z</dcterms:created>
  <dcterms:modified xsi:type="dcterms:W3CDTF">2021-12-22T06:04:00Z</dcterms:modified>
</cp:coreProperties>
</file>