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4F" w:rsidRDefault="00BB284F" w:rsidP="00A65E6D">
      <w:pPr>
        <w:pStyle w:val="a4"/>
      </w:pPr>
    </w:p>
    <w:p w:rsidR="00A65E6D" w:rsidRPr="004617AE" w:rsidRDefault="00A65E6D" w:rsidP="00A65E6D">
      <w:pPr>
        <w:pStyle w:val="a4"/>
        <w:rPr>
          <w:b w:val="0"/>
        </w:rPr>
      </w:pPr>
      <w:proofErr w:type="spellStart"/>
      <w:r w:rsidRPr="004617AE">
        <w:t>Знам’янськ</w:t>
      </w:r>
      <w:r w:rsidRPr="00A849A7">
        <w:t>а</w:t>
      </w:r>
      <w:proofErr w:type="spellEnd"/>
      <w:r w:rsidRPr="004617AE">
        <w:t xml:space="preserve"> міськ</w:t>
      </w:r>
      <w:r w:rsidRPr="00A849A7">
        <w:t>а</w:t>
      </w:r>
      <w:r w:rsidRPr="004617AE">
        <w:t xml:space="preserve"> рад</w:t>
      </w:r>
      <w:r w:rsidRPr="00A849A7">
        <w:t>а</w:t>
      </w:r>
    </w:p>
    <w:p w:rsidR="00A65E6D" w:rsidRPr="004617AE" w:rsidRDefault="00A65E6D" w:rsidP="00A65E6D">
      <w:pPr>
        <w:pStyle w:val="a4"/>
        <w:rPr>
          <w:b w:val="0"/>
        </w:rPr>
      </w:pPr>
      <w:r w:rsidRPr="004617AE">
        <w:t>Кропивницького району Кіровоградської області</w:t>
      </w:r>
    </w:p>
    <w:p w:rsidR="00A65E6D" w:rsidRPr="004617AE" w:rsidRDefault="00A65E6D" w:rsidP="00A65E6D">
      <w:pPr>
        <w:pStyle w:val="a4"/>
        <w:rPr>
          <w:b w:val="0"/>
        </w:rPr>
      </w:pPr>
      <w:r w:rsidRPr="004617AE">
        <w:t xml:space="preserve">Позачергова </w:t>
      </w:r>
      <w:r w:rsidRPr="00A849A7">
        <w:t>І</w:t>
      </w:r>
      <w:r w:rsidRPr="004617AE">
        <w:rPr>
          <w:lang w:val="en-US"/>
        </w:rPr>
        <w:t>V</w:t>
      </w:r>
      <w:r w:rsidRPr="004617AE">
        <w:t xml:space="preserve">сесія </w:t>
      </w:r>
      <w:r w:rsidRPr="004617AE">
        <w:rPr>
          <w:lang w:val="en-US"/>
        </w:rPr>
        <w:t>VIII</w:t>
      </w:r>
      <w:r w:rsidRPr="004617AE">
        <w:t xml:space="preserve"> скликання</w:t>
      </w:r>
    </w:p>
    <w:p w:rsidR="00A65E6D" w:rsidRPr="004617AE" w:rsidRDefault="00A65E6D" w:rsidP="00A65E6D">
      <w:pPr>
        <w:pStyle w:val="a4"/>
        <w:rPr>
          <w:b w:val="0"/>
        </w:rPr>
      </w:pPr>
    </w:p>
    <w:p w:rsidR="00A65E6D" w:rsidRPr="004617AE" w:rsidRDefault="00A65E6D" w:rsidP="00A65E6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17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4617AE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4617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A65E6D" w:rsidRPr="004617AE" w:rsidRDefault="00A65E6D" w:rsidP="00A65E6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617AE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A65E6D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 xml:space="preserve">  січня  2021  року                                                     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617AE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47</w:t>
      </w:r>
      <w:r w:rsidRPr="004617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4617A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65E6D" w:rsidRPr="004617AE" w:rsidRDefault="00A65E6D" w:rsidP="00A65E6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17AE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A65E6D" w:rsidRPr="00762B0D" w:rsidRDefault="00A65E6D" w:rsidP="00A65E6D">
      <w:pPr>
        <w:spacing w:after="0" w:line="240" w:lineRule="auto"/>
        <w:ind w:right="4961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структури 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</w:t>
      </w:r>
    </w:p>
    <w:p w:rsidR="00A65E6D" w:rsidRPr="00762B0D" w:rsidRDefault="00A65E6D" w:rsidP="00A65E6D">
      <w:pPr>
        <w:spacing w:after="0" w:line="240" w:lineRule="auto"/>
        <w:ind w:right="496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5E6D" w:rsidRPr="00762B0D" w:rsidRDefault="00A65E6D" w:rsidP="00A65E6D">
      <w:pPr>
        <w:pStyle w:val="1"/>
        <w:spacing w:before="0"/>
        <w:ind w:right="-16" w:firstLine="708"/>
        <w:jc w:val="both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Керуючись статтею 11, пунктом 5 частини першої статті 26, пунктом 6 частини четвертої статті 42, частиною першою статті 54 Закону України «Про місцеве самоврядування в Україні», розпорядженням Кабінету Міністрів України від 12 червня 2020 року № 716-р «Про визначення адміністративних центрів та затвердження територій територіальних громад Кіровоградської області»,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Знам’янська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міська рада</w:t>
      </w:r>
    </w:p>
    <w:p w:rsidR="00A65E6D" w:rsidRDefault="00A65E6D" w:rsidP="00A65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65E6D" w:rsidRPr="00762B0D" w:rsidRDefault="00A65E6D" w:rsidP="00A65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5E6D" w:rsidRPr="00762B0D" w:rsidRDefault="00A65E6D" w:rsidP="00A65E6D">
      <w:pPr>
        <w:pStyle w:val="1"/>
        <w:keepLines w:val="0"/>
        <w:numPr>
          <w:ilvl w:val="0"/>
          <w:numId w:val="3"/>
        </w:numPr>
        <w:spacing w:before="0"/>
        <w:ind w:left="284" w:right="-17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Утворити з 01 квітня 2021 року новий структурний підрозділ без статусу юридичної особи – управління  </w:t>
      </w:r>
      <w:r w:rsidRPr="00762B0D">
        <w:rPr>
          <w:rFonts w:ascii="Times New Roman" w:hAnsi="Times New Roman" w:cs="Times New Roman"/>
          <w:b w:val="0"/>
          <w:color w:val="000000"/>
          <w:sz w:val="24"/>
          <w:szCs w:val="24"/>
          <w:lang w:val="uk-UA"/>
        </w:rPr>
        <w:t>земельних ресурсів, екології, благоустрою та надзвичайних ситуацій</w:t>
      </w: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ради.</w:t>
      </w:r>
    </w:p>
    <w:p w:rsidR="00A65E6D" w:rsidRPr="00762B0D" w:rsidRDefault="00A65E6D" w:rsidP="00A65E6D">
      <w:pPr>
        <w:pStyle w:val="1"/>
        <w:keepLines w:val="0"/>
        <w:numPr>
          <w:ilvl w:val="0"/>
          <w:numId w:val="3"/>
        </w:numPr>
        <w:spacing w:before="0"/>
        <w:ind w:left="284" w:right="-17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Утворити нові структурні підрозділи без статусу юридичної особи – відділ охорони здоров’я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ради,</w:t>
      </w:r>
      <w:r w:rsidRPr="00762B0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відділ інфраструктури та інвестиційного розвитку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ради.</w:t>
      </w:r>
    </w:p>
    <w:p w:rsidR="00A65E6D" w:rsidRPr="00762B0D" w:rsidRDefault="00A65E6D" w:rsidP="00A65E6D">
      <w:pPr>
        <w:pStyle w:val="1"/>
        <w:keepLines w:val="0"/>
        <w:numPr>
          <w:ilvl w:val="0"/>
          <w:numId w:val="3"/>
        </w:numPr>
        <w:spacing w:before="0"/>
        <w:ind w:left="284" w:right="-17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Перейменувати з 01 квітня 2021 року:</w:t>
      </w:r>
    </w:p>
    <w:p w:rsidR="00A65E6D" w:rsidRPr="00762B0D" w:rsidRDefault="00A65E6D" w:rsidP="00A65E6D">
      <w:pPr>
        <w:pStyle w:val="1"/>
        <w:keepLines w:val="0"/>
        <w:spacing w:before="0"/>
        <w:ind w:left="284"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               - відділ молоді, спорту та охорони здоров’я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у відділ молоді та спорту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ради;</w:t>
      </w:r>
    </w:p>
    <w:p w:rsidR="00A65E6D" w:rsidRPr="00762B0D" w:rsidRDefault="00A65E6D" w:rsidP="00A65E6D">
      <w:pPr>
        <w:pStyle w:val="1"/>
        <w:keepLines w:val="0"/>
        <w:spacing w:before="0"/>
        <w:ind w:left="284"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               -  відділ економічного розвитку, промисловості, інфраструктури та торгівлі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у відділ економічного розвитку, підприємництва, промисловості  та торгівлі виконавчого комітету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ради.                </w:t>
      </w:r>
    </w:p>
    <w:p w:rsidR="00A65E6D" w:rsidRPr="00762B0D" w:rsidRDefault="00A65E6D" w:rsidP="00A65E6D">
      <w:pPr>
        <w:pStyle w:val="1"/>
        <w:keepLines w:val="0"/>
        <w:spacing w:before="0"/>
        <w:ind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4.  Затвердити структуру апарату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 з 01 </w:t>
      </w:r>
      <w:r w:rsidR="000A346F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лютого</w:t>
      </w:r>
      <w:bookmarkStart w:id="0" w:name="_GoBack"/>
      <w:bookmarkEnd w:id="0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2021 року, окрім п.13, 20, 25, 28 структури (додається).</w:t>
      </w:r>
    </w:p>
    <w:p w:rsidR="00A65E6D" w:rsidRPr="00762B0D" w:rsidRDefault="00A65E6D" w:rsidP="00A65E6D">
      <w:pPr>
        <w:pStyle w:val="1"/>
        <w:keepLines w:val="0"/>
        <w:spacing w:before="0"/>
        <w:ind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5. Затвердити загальну чисельність апарату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у кількості 141,75 штатних одиниць.</w:t>
      </w:r>
    </w:p>
    <w:p w:rsidR="00A65E6D" w:rsidRPr="00762B0D" w:rsidRDefault="00A65E6D" w:rsidP="00A65E6D">
      <w:pPr>
        <w:pStyle w:val="1"/>
        <w:keepLines w:val="0"/>
        <w:spacing w:before="0"/>
        <w:ind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6. Заступникам міського голови з питань діяльності виконавчих органів, керуючому справами (секретарю) виконавчого комітету, секретарю міської ради спільно з начальниками управлінь, відділів, служб, центрів апарату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до 15 березня 2021 року розробити та винести на розгляд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проєкти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Положень про структурні підрозділи, які вони очолюють, а також забезпечити внесення змін до посадових інструкцій відповідних працівників апарату </w:t>
      </w:r>
      <w:proofErr w:type="spellStart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ради. </w:t>
      </w:r>
    </w:p>
    <w:p w:rsidR="00A65E6D" w:rsidRPr="00762B0D" w:rsidRDefault="00A65E6D" w:rsidP="00A65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7.  Виконавчому комітету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провести упорядкування структури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 відповідно до даного рішення.</w:t>
      </w:r>
    </w:p>
    <w:p w:rsidR="00A65E6D" w:rsidRPr="00762B0D" w:rsidRDefault="00A65E6D" w:rsidP="00A65E6D">
      <w:pPr>
        <w:pStyle w:val="1"/>
        <w:keepLines w:val="0"/>
        <w:spacing w:before="0"/>
        <w:ind w:right="-17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lastRenderedPageBreak/>
        <w:t>8.   Визнати такими, що втратили чинність: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22.04.2016 року №194 «Про затвердження структури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ради»;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19.08.2016 року №378 «Про внесення змін до додатку 3 рішення міської ради від 22 квітня 2016 року №194 «Про затвердження структури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ради»;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21.10.2016 року №480 «Про внесення змін до рішення міської ради від 22 квітня 2016 року №194 «Про затвердження структури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ради»;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21.10.2016 року №481 «Про внесення змін до рішення міської ради від 22 квітня 2016 року №194 «Про затвердження структури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ради»;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30.07.2019 року №2056 «Про внесення змін до рішення міської ради від 22 квітня 2016 року №194 «Про затвердження структури та загальної чисельності апарату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її виконавчого комітету, виконавчих органів міської ради»;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04.11.2019 року №2206 «Про внесення змін до рішення міської ради від 22 квітня 2016 року №194;</w:t>
      </w:r>
    </w:p>
    <w:p w:rsidR="00A65E6D" w:rsidRPr="00762B0D" w:rsidRDefault="00A65E6D" w:rsidP="00A65E6D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22.12.2020 року №9 «Про внесення змін та доповнень до рішень </w:t>
      </w:r>
      <w:proofErr w:type="spellStart"/>
      <w:r w:rsidRPr="00762B0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22.04.2016 року №194 та 21.10.2016 року №481».</w:t>
      </w:r>
    </w:p>
    <w:p w:rsidR="00A65E6D" w:rsidRPr="00762B0D" w:rsidRDefault="00A65E6D" w:rsidP="00A65E6D">
      <w:pPr>
        <w:pStyle w:val="1"/>
        <w:keepLines w:val="0"/>
        <w:numPr>
          <w:ilvl w:val="0"/>
          <w:numId w:val="6"/>
        </w:numPr>
        <w:spacing w:before="0"/>
        <w:ind w:right="-1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Контроль за виконанням даного рішення покласти на керуючого справами (секретаря) виконавчого комітету Лілію МЕРЕНКОВУ.</w:t>
      </w:r>
    </w:p>
    <w:p w:rsidR="00A65E6D" w:rsidRPr="00762B0D" w:rsidRDefault="00A65E6D" w:rsidP="00A65E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5E6D" w:rsidRPr="00762B0D" w:rsidRDefault="00A65E6D" w:rsidP="00A65E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65E6D" w:rsidRPr="00762B0D" w:rsidRDefault="00A65E6D" w:rsidP="00A65E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            </w:t>
      </w: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62B0D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A65E6D" w:rsidRPr="00762B0D" w:rsidRDefault="00A65E6D" w:rsidP="00A65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Pr="00762B0D" w:rsidRDefault="00A65E6D" w:rsidP="00A65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Pr="00762B0D" w:rsidRDefault="00A65E6D" w:rsidP="00A65E6D">
      <w:pPr>
        <w:spacing w:after="0" w:line="240" w:lineRule="auto"/>
        <w:ind w:left="6237" w:firstLine="70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 </w:t>
      </w:r>
    </w:p>
    <w:p w:rsidR="00A65E6D" w:rsidRPr="00762B0D" w:rsidRDefault="00A65E6D" w:rsidP="00A65E6D">
      <w:pPr>
        <w:tabs>
          <w:tab w:val="left" w:pos="50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A65E6D" w:rsidRDefault="00A65E6D" w:rsidP="00A65E6D">
      <w:pPr>
        <w:tabs>
          <w:tab w:val="left" w:pos="50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27 січня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Pr="00762B0D">
        <w:rPr>
          <w:rFonts w:ascii="Times New Roman" w:hAnsi="Times New Roman" w:cs="Times New Roman"/>
          <w:sz w:val="24"/>
          <w:szCs w:val="24"/>
          <w:lang w:val="uk-UA"/>
        </w:rPr>
        <w:softHyphen/>
      </w:r>
      <w:r>
        <w:rPr>
          <w:rFonts w:ascii="Times New Roman" w:hAnsi="Times New Roman" w:cs="Times New Roman"/>
          <w:sz w:val="24"/>
          <w:szCs w:val="24"/>
          <w:lang w:val="uk-UA"/>
        </w:rPr>
        <w:t>47</w:t>
      </w:r>
    </w:p>
    <w:p w:rsidR="00A65E6D" w:rsidRPr="00762B0D" w:rsidRDefault="00A65E6D" w:rsidP="00A65E6D">
      <w:pPr>
        <w:tabs>
          <w:tab w:val="left" w:pos="5040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Pr="00762B0D" w:rsidRDefault="00A65E6D" w:rsidP="00A65E6D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lang w:val="uk-UA"/>
        </w:rPr>
      </w:pPr>
      <w:r w:rsidRPr="00762B0D">
        <w:rPr>
          <w:rFonts w:ascii="Times New Roman" w:hAnsi="Times New Roman" w:cs="Times New Roman"/>
          <w:i w:val="0"/>
          <w:color w:val="auto"/>
          <w:lang w:val="uk-UA"/>
        </w:rPr>
        <w:t>СТРУКТУРА</w:t>
      </w:r>
    </w:p>
    <w:p w:rsidR="00A65E6D" w:rsidRDefault="00A65E6D" w:rsidP="00A65E6D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lang w:val="uk-UA"/>
        </w:rPr>
      </w:pPr>
      <w:r w:rsidRPr="00762B0D">
        <w:rPr>
          <w:rFonts w:ascii="Times New Roman" w:hAnsi="Times New Roman" w:cs="Times New Roman"/>
          <w:i w:val="0"/>
          <w:color w:val="auto"/>
          <w:lang w:val="uk-UA"/>
        </w:rPr>
        <w:t xml:space="preserve">апарату </w:t>
      </w:r>
      <w:proofErr w:type="spellStart"/>
      <w:r w:rsidRPr="00762B0D">
        <w:rPr>
          <w:rFonts w:ascii="Times New Roman" w:hAnsi="Times New Roman" w:cs="Times New Roman"/>
          <w:i w:val="0"/>
          <w:color w:val="auto"/>
          <w:lang w:val="uk-UA"/>
        </w:rPr>
        <w:t>Знам’янської</w:t>
      </w:r>
      <w:proofErr w:type="spellEnd"/>
      <w:r w:rsidRPr="00762B0D">
        <w:rPr>
          <w:rFonts w:ascii="Times New Roman" w:hAnsi="Times New Roman" w:cs="Times New Roman"/>
          <w:i w:val="0"/>
          <w:color w:val="auto"/>
          <w:lang w:val="uk-UA"/>
        </w:rPr>
        <w:t xml:space="preserve"> міської ради та її виконав</w:t>
      </w:r>
      <w:r w:rsidRPr="00A65E6D">
        <w:rPr>
          <w:rFonts w:ascii="Times New Roman" w:hAnsi="Times New Roman" w:cs="Times New Roman"/>
          <w:i w:val="0"/>
          <w:color w:val="auto"/>
          <w:lang w:val="uk-UA"/>
        </w:rPr>
        <w:t>чого комітету, виконавчих органів міської ради</w:t>
      </w:r>
    </w:p>
    <w:p w:rsidR="00A65E6D" w:rsidRPr="00762B0D" w:rsidRDefault="00A65E6D" w:rsidP="00A65E6D">
      <w:pPr>
        <w:spacing w:after="0"/>
        <w:rPr>
          <w:lang w:val="uk-UA"/>
        </w:rPr>
      </w:pPr>
    </w:p>
    <w:tbl>
      <w:tblPr>
        <w:tblW w:w="102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8295"/>
        <w:gridCol w:w="1275"/>
      </w:tblGrid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 та посади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Керівний склад міської ради та її виконавчого комітету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в т.ч.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Міський голова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Секретар міської ради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Староста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Патронатна служба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Секретар керівника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Старший інспектор з питань оборонної і мобілізаційної роботи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pStyle w:val="7"/>
              <w:spacing w:before="0"/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i w:val="0"/>
                <w:color w:val="auto"/>
                <w:lang w:val="uk-UA"/>
              </w:rPr>
              <w:t>Відділ забезпечення діяльності міської ради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65E6D" w:rsidRPr="00762B0D" w:rsidTr="008C0CA0">
        <w:trPr>
          <w:trHeight w:val="283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right="-134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організаційно-кадрової роботи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right="-134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загальний, контролю та роботи із зверненнями громадян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right="-134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Юридичний відділ</w:t>
            </w:r>
          </w:p>
        </w:tc>
        <w:tc>
          <w:tcPr>
            <w:tcW w:w="1275" w:type="dxa"/>
            <w:vAlign w:val="center"/>
          </w:tcPr>
          <w:p w:rsidR="00A65E6D" w:rsidRPr="004666C3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6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інформаційної діяльності та комунікацій з громадськістю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ведення Державного реєстру виборців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Служба у справах дітей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молоді, спорту та охорони здоров’я (до 01 квітня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(з 01 квітня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охорони здоров’я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Архівний відділ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фінансово-господарського забезпечення 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784" w:hanging="7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 ( до 01 квітня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 та житл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ово-комунального господарства (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01 квітня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11,25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культури і туризму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ind w:left="784" w:hanging="78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розвитку, промисловості, інфраструктури та торгівлі</w:t>
            </w:r>
            <w:r w:rsidRPr="00762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 квітня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економічного   розвитку,  підприємництва,  промисловості   та  торгівлі (з 01 квітня 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інфраструктури та інвестиційного розвитку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земельних питань </w:t>
            </w:r>
          </w:p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 квітня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65E6D" w:rsidRPr="00762B0D" w:rsidTr="008C0CA0">
        <w:trPr>
          <w:trHeight w:val="340"/>
        </w:trPr>
        <w:tc>
          <w:tcPr>
            <w:tcW w:w="708" w:type="dxa"/>
            <w:vAlign w:val="center"/>
          </w:tcPr>
          <w:p w:rsidR="00A65E6D" w:rsidRPr="00762B0D" w:rsidRDefault="00A65E6D" w:rsidP="008C0CA0">
            <w:pPr>
              <w:numPr>
                <w:ilvl w:val="0"/>
                <w:numId w:val="5"/>
              </w:numPr>
              <w:spacing w:after="0" w:line="240" w:lineRule="auto"/>
              <w:ind w:left="318" w:hanging="2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земельних ресурсів, екології, благоустрою та надзвичайних ситуацій  (з 01 квітня  2021 року)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A65E6D" w:rsidRPr="00762B0D" w:rsidTr="008C0CA0">
        <w:trPr>
          <w:cantSplit/>
          <w:trHeight w:val="340"/>
        </w:trPr>
        <w:tc>
          <w:tcPr>
            <w:tcW w:w="9003" w:type="dxa"/>
            <w:gridSpan w:val="2"/>
            <w:vAlign w:val="center"/>
          </w:tcPr>
          <w:p w:rsidR="00A65E6D" w:rsidRPr="00762B0D" w:rsidRDefault="00A65E6D" w:rsidP="008C0CA0">
            <w:pPr>
              <w:pStyle w:val="7"/>
              <w:jc w:val="right"/>
              <w:rPr>
                <w:rFonts w:ascii="Times New Roman" w:eastAsia="Times New Roman" w:hAnsi="Times New Roman" w:cs="Times New Roman"/>
                <w:b/>
                <w:i w:val="0"/>
                <w:color w:val="auto"/>
                <w:lang w:val="uk-UA"/>
              </w:rPr>
            </w:pPr>
            <w:r w:rsidRPr="00762B0D">
              <w:rPr>
                <w:rFonts w:ascii="Times New Roman" w:eastAsia="Times New Roman" w:hAnsi="Times New Roman" w:cs="Times New Roman"/>
                <w:b/>
                <w:i w:val="0"/>
                <w:color w:val="auto"/>
                <w:lang w:val="uk-UA"/>
              </w:rPr>
              <w:t>Всього:</w:t>
            </w:r>
          </w:p>
        </w:tc>
        <w:tc>
          <w:tcPr>
            <w:tcW w:w="1275" w:type="dxa"/>
            <w:vAlign w:val="center"/>
          </w:tcPr>
          <w:p w:rsidR="00A65E6D" w:rsidRPr="00762B0D" w:rsidRDefault="00A65E6D" w:rsidP="008C0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2B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141,75</w:t>
            </w:r>
          </w:p>
        </w:tc>
      </w:tr>
    </w:tbl>
    <w:p w:rsidR="00A65E6D" w:rsidRPr="00762B0D" w:rsidRDefault="00A65E6D" w:rsidP="00A65E6D">
      <w:pPr>
        <w:tabs>
          <w:tab w:val="left" w:pos="180"/>
          <w:tab w:val="left" w:pos="48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Pr="00762B0D" w:rsidRDefault="00A65E6D" w:rsidP="00A65E6D">
      <w:pPr>
        <w:tabs>
          <w:tab w:val="left" w:pos="180"/>
          <w:tab w:val="left" w:pos="48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Default="00A65E6D" w:rsidP="00A65E6D">
      <w:pPr>
        <w:tabs>
          <w:tab w:val="left" w:pos="180"/>
          <w:tab w:val="left" w:pos="48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Default="00A65E6D" w:rsidP="00A65E6D">
      <w:pPr>
        <w:tabs>
          <w:tab w:val="left" w:pos="180"/>
          <w:tab w:val="left" w:pos="48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Default="00A65E6D" w:rsidP="00A65E6D">
      <w:pPr>
        <w:tabs>
          <w:tab w:val="left" w:pos="180"/>
          <w:tab w:val="left" w:pos="48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65E6D" w:rsidRDefault="00A65E6D" w:rsidP="00A65E6D">
      <w:pPr>
        <w:tabs>
          <w:tab w:val="left" w:pos="180"/>
          <w:tab w:val="left" w:pos="48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F33E0" w:rsidRPr="00862F39" w:rsidRDefault="002F33E0" w:rsidP="00862F39"/>
    <w:sectPr w:rsidR="002F33E0" w:rsidRPr="00862F39" w:rsidSect="00A65E6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0269A"/>
    <w:multiLevelType w:val="hybridMultilevel"/>
    <w:tmpl w:val="A0789ED0"/>
    <w:lvl w:ilvl="0" w:tplc="1C008B98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554954"/>
    <w:multiLevelType w:val="hybridMultilevel"/>
    <w:tmpl w:val="A0789ED0"/>
    <w:lvl w:ilvl="0" w:tplc="1C008B98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A147B99"/>
    <w:multiLevelType w:val="multilevel"/>
    <w:tmpl w:val="32A0A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abstractNum w:abstractNumId="3">
    <w:nsid w:val="5E1528B5"/>
    <w:multiLevelType w:val="hybridMultilevel"/>
    <w:tmpl w:val="0D6C37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974E4"/>
    <w:multiLevelType w:val="hybridMultilevel"/>
    <w:tmpl w:val="665C4720"/>
    <w:lvl w:ilvl="0" w:tplc="02D296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8E"/>
    <w:rsid w:val="000A346F"/>
    <w:rsid w:val="000C4AD5"/>
    <w:rsid w:val="002F33E0"/>
    <w:rsid w:val="00487FDE"/>
    <w:rsid w:val="00862F39"/>
    <w:rsid w:val="008B6D0F"/>
    <w:rsid w:val="00A65E6D"/>
    <w:rsid w:val="00B228EB"/>
    <w:rsid w:val="00BB284F"/>
    <w:rsid w:val="00E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5E6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5E6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5E6D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E3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EE37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B228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228EB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B228E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B228EB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eastAsia="en-US"/>
    </w:rPr>
  </w:style>
  <w:style w:type="paragraph" w:styleId="a9">
    <w:name w:val="List Paragraph"/>
    <w:basedOn w:val="a"/>
    <w:uiPriority w:val="99"/>
    <w:qFormat/>
    <w:rsid w:val="008B6D0F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65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65E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65E6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5E6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5E6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5E6D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E3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EE37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B228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228EB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B228E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B228EB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eastAsia="en-US"/>
    </w:rPr>
  </w:style>
  <w:style w:type="paragraph" w:styleId="a9">
    <w:name w:val="List Paragraph"/>
    <w:basedOn w:val="a"/>
    <w:uiPriority w:val="99"/>
    <w:qFormat/>
    <w:rsid w:val="008B6D0F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65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65E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65E6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2021-02-04T11:50:00Z</cp:lastPrinted>
  <dcterms:created xsi:type="dcterms:W3CDTF">2021-01-28T14:08:00Z</dcterms:created>
  <dcterms:modified xsi:type="dcterms:W3CDTF">2021-02-05T07:37:00Z</dcterms:modified>
</cp:coreProperties>
</file>