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C1" w:rsidRPr="001977C8" w:rsidRDefault="00B62649" w:rsidP="003B3B96">
      <w:pPr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  <w:lang w:eastAsia="uk-UA"/>
        </w:rPr>
        <w:t>Аналіз регуляторного впливу проєкту рішення – проє</w:t>
      </w:r>
      <w:r w:rsidR="00B14AD1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 xml:space="preserve">кту регуляторного акта виконавчого комітету </w:t>
      </w:r>
      <w:proofErr w:type="spellStart"/>
      <w:r w:rsidR="00B14AD1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>Знам’янської</w:t>
      </w:r>
      <w:proofErr w:type="spellEnd"/>
      <w:r w:rsidR="00B14AD1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 xml:space="preserve"> міської ради </w:t>
      </w:r>
      <w:r w:rsidR="00D21C7F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="0087065B" w:rsidRPr="001977C8">
        <w:rPr>
          <w:b/>
          <w:sz w:val="24"/>
          <w:szCs w:val="24"/>
        </w:rPr>
        <w:t>"Про встановлення вартості 1-ї  нормо-години на роботи та послуги, що надаються ЗМКП  "Бюро технічної  інвентар</w:t>
      </w:r>
      <w:r w:rsidR="00A40F0B">
        <w:rPr>
          <w:b/>
          <w:sz w:val="24"/>
          <w:szCs w:val="24"/>
        </w:rPr>
        <w:t>и</w:t>
      </w:r>
      <w:r w:rsidR="0087065B" w:rsidRPr="001977C8">
        <w:rPr>
          <w:b/>
          <w:sz w:val="24"/>
          <w:szCs w:val="24"/>
        </w:rPr>
        <w:t>зації"</w:t>
      </w:r>
    </w:p>
    <w:p w:rsidR="00B14AD1" w:rsidRPr="001977C8" w:rsidRDefault="00A00EC1" w:rsidP="00A00EC1">
      <w:pPr>
        <w:widowControl w:val="0"/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</w:t>
      </w:r>
      <w:r w:rsidR="00B62649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(далі - проєкт рішення – проє</w:t>
      </w:r>
      <w:r w:rsidR="00B14AD1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кт регуляторного акту)</w:t>
      </w:r>
    </w:p>
    <w:p w:rsidR="00D21C7F" w:rsidRPr="001977C8" w:rsidRDefault="00D21C7F" w:rsidP="00827064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B14AD1" w:rsidRPr="001977C8" w:rsidRDefault="005F3AC0" w:rsidP="008B01C2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І. </w:t>
      </w:r>
      <w:r w:rsidR="00B14AD1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Визначення проблеми</w:t>
      </w:r>
    </w:p>
    <w:p w:rsidR="00213935" w:rsidRPr="001977C8" w:rsidRDefault="00213935" w:rsidP="008B01C2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C31F04" w:rsidRPr="001977C8" w:rsidRDefault="007168FF" w:rsidP="00C31F04">
      <w:pPr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 </w:t>
      </w:r>
      <w:r w:rsidR="003D5663" w:rsidRPr="001977C8">
        <w:rPr>
          <w:bCs/>
          <w:sz w:val="24"/>
          <w:szCs w:val="24"/>
        </w:rPr>
        <w:t>ЗМ</w:t>
      </w:r>
      <w:r w:rsidR="00F140C6" w:rsidRPr="001977C8">
        <w:rPr>
          <w:rStyle w:val="23"/>
          <w:sz w:val="24"/>
          <w:szCs w:val="24"/>
        </w:rPr>
        <w:t xml:space="preserve">КП </w:t>
      </w:r>
      <w:r w:rsidR="003D5663" w:rsidRPr="001977C8">
        <w:rPr>
          <w:rStyle w:val="23"/>
          <w:sz w:val="24"/>
          <w:szCs w:val="24"/>
        </w:rPr>
        <w:t>"</w:t>
      </w:r>
      <w:r w:rsidR="00F140C6" w:rsidRPr="001977C8">
        <w:rPr>
          <w:sz w:val="24"/>
          <w:szCs w:val="24"/>
        </w:rPr>
        <w:t>Бюро технічної інвентаризації</w:t>
      </w:r>
      <w:r w:rsidR="003D5663" w:rsidRPr="001977C8">
        <w:rPr>
          <w:rStyle w:val="23"/>
          <w:sz w:val="24"/>
          <w:szCs w:val="24"/>
        </w:rPr>
        <w:t>"</w:t>
      </w:r>
      <w:r w:rsidR="00F140C6" w:rsidRPr="001977C8">
        <w:rPr>
          <w:rStyle w:val="23"/>
          <w:sz w:val="24"/>
          <w:szCs w:val="24"/>
        </w:rPr>
        <w:t xml:space="preserve"> це підприємство</w:t>
      </w:r>
      <w:r w:rsidR="003C604F">
        <w:rPr>
          <w:rStyle w:val="23"/>
          <w:sz w:val="24"/>
          <w:szCs w:val="24"/>
        </w:rPr>
        <w:t>,</w:t>
      </w:r>
      <w:r w:rsidR="00F140C6" w:rsidRPr="001977C8">
        <w:rPr>
          <w:rStyle w:val="23"/>
          <w:sz w:val="24"/>
          <w:szCs w:val="24"/>
        </w:rPr>
        <w:t xml:space="preserve"> що надає послуги з технічної інвентаризації нерухомого майна. Дане підприємство є окремою госпрозрахунковою одиницею, дотацій на покриття витрат з міського бюджету не отримує. Для повноцінного функціонування та якісного надання послуг підприємства є тариф, який встановлюється на послуги. Інших джерел доходів підприємство не має. Послугами підприємства користуються</w:t>
      </w:r>
      <w:r w:rsidR="003C604F">
        <w:rPr>
          <w:rStyle w:val="23"/>
          <w:sz w:val="24"/>
          <w:szCs w:val="24"/>
        </w:rPr>
        <w:t xml:space="preserve"> юридичні особи та населення</w:t>
      </w:r>
      <w:r w:rsidR="00F140C6" w:rsidRPr="001977C8">
        <w:rPr>
          <w:rStyle w:val="23"/>
          <w:sz w:val="24"/>
          <w:szCs w:val="24"/>
        </w:rPr>
        <w:t>. Попере</w:t>
      </w:r>
      <w:r w:rsidR="007907C1" w:rsidRPr="001977C8">
        <w:rPr>
          <w:rStyle w:val="23"/>
          <w:sz w:val="24"/>
          <w:szCs w:val="24"/>
        </w:rPr>
        <w:t>дній тариф на послуги був</w:t>
      </w:r>
      <w:r w:rsidR="00F140C6" w:rsidRPr="001977C8">
        <w:rPr>
          <w:rStyle w:val="23"/>
          <w:sz w:val="24"/>
          <w:szCs w:val="24"/>
        </w:rPr>
        <w:t xml:space="preserve"> затв</w:t>
      </w:r>
      <w:r w:rsidR="007907C1" w:rsidRPr="001977C8">
        <w:rPr>
          <w:rStyle w:val="23"/>
          <w:sz w:val="24"/>
          <w:szCs w:val="24"/>
        </w:rPr>
        <w:t>ерджений рішенням</w:t>
      </w:r>
      <w:r w:rsidR="00F140C6" w:rsidRPr="001977C8">
        <w:rPr>
          <w:rStyle w:val="23"/>
          <w:sz w:val="24"/>
          <w:szCs w:val="24"/>
        </w:rPr>
        <w:t xml:space="preserve"> виконавчого комітету </w:t>
      </w:r>
      <w:proofErr w:type="spellStart"/>
      <w:r w:rsidR="004B6C90">
        <w:rPr>
          <w:rStyle w:val="23"/>
          <w:sz w:val="24"/>
          <w:szCs w:val="24"/>
        </w:rPr>
        <w:t>Знам'янської</w:t>
      </w:r>
      <w:proofErr w:type="spellEnd"/>
      <w:r w:rsidR="004B6C90">
        <w:rPr>
          <w:rStyle w:val="23"/>
          <w:sz w:val="24"/>
          <w:szCs w:val="24"/>
        </w:rPr>
        <w:t xml:space="preserve"> міської ради </w:t>
      </w:r>
      <w:r w:rsidR="00241DA9">
        <w:rPr>
          <w:rStyle w:val="23"/>
          <w:sz w:val="24"/>
          <w:szCs w:val="24"/>
        </w:rPr>
        <w:t>від 21</w:t>
      </w:r>
      <w:r w:rsidR="00F140C6" w:rsidRPr="001977C8">
        <w:rPr>
          <w:rStyle w:val="23"/>
          <w:sz w:val="24"/>
          <w:szCs w:val="24"/>
        </w:rPr>
        <w:t>.0</w:t>
      </w:r>
      <w:r w:rsidR="00241DA9">
        <w:rPr>
          <w:rStyle w:val="23"/>
          <w:sz w:val="24"/>
          <w:szCs w:val="24"/>
        </w:rPr>
        <w:t>5.2020</w:t>
      </w:r>
      <w:r w:rsidR="00F140C6" w:rsidRPr="001977C8">
        <w:rPr>
          <w:rStyle w:val="23"/>
          <w:sz w:val="24"/>
          <w:szCs w:val="24"/>
        </w:rPr>
        <w:t>р.</w:t>
      </w:r>
      <w:r w:rsidR="003C604F">
        <w:rPr>
          <w:sz w:val="24"/>
          <w:szCs w:val="24"/>
        </w:rPr>
        <w:t xml:space="preserve"> №</w:t>
      </w:r>
      <w:r w:rsidR="00241DA9">
        <w:rPr>
          <w:sz w:val="24"/>
          <w:szCs w:val="24"/>
        </w:rPr>
        <w:t>11</w:t>
      </w:r>
      <w:r w:rsidR="00B62649">
        <w:rPr>
          <w:sz w:val="24"/>
          <w:szCs w:val="24"/>
        </w:rPr>
        <w:t>2</w:t>
      </w:r>
      <w:r w:rsidR="003C604F">
        <w:rPr>
          <w:sz w:val="24"/>
          <w:szCs w:val="24"/>
        </w:rPr>
        <w:t xml:space="preserve"> </w:t>
      </w:r>
      <w:r w:rsidR="003C604F" w:rsidRPr="002005A5">
        <w:rPr>
          <w:sz w:val="24"/>
          <w:szCs w:val="24"/>
        </w:rPr>
        <w:t>"Про встановлення вартості 1-ї  нормо-години на роботи та послуги, що надаються ЗМКП  "Бюро технічної  інвентар</w:t>
      </w:r>
      <w:r w:rsidR="003C604F">
        <w:rPr>
          <w:sz w:val="24"/>
          <w:szCs w:val="24"/>
        </w:rPr>
        <w:t>и</w:t>
      </w:r>
      <w:r w:rsidR="003C604F" w:rsidRPr="002005A5">
        <w:rPr>
          <w:sz w:val="24"/>
          <w:szCs w:val="24"/>
        </w:rPr>
        <w:t>зації"</w:t>
      </w:r>
      <w:r w:rsidR="00F140C6" w:rsidRPr="001977C8">
        <w:rPr>
          <w:sz w:val="24"/>
          <w:szCs w:val="24"/>
        </w:rPr>
        <w:t xml:space="preserve">. За даний період  основним фактором, який обумовив збільшення витрат підприємства є підвищення мінімальної заробітної плати  </w:t>
      </w:r>
      <w:r w:rsidR="00B47898">
        <w:rPr>
          <w:sz w:val="24"/>
          <w:szCs w:val="24"/>
        </w:rPr>
        <w:t xml:space="preserve">на </w:t>
      </w:r>
      <w:r w:rsidR="00FA439C">
        <w:rPr>
          <w:sz w:val="24"/>
          <w:szCs w:val="24"/>
        </w:rPr>
        <w:t xml:space="preserve"> 27</w:t>
      </w:r>
      <w:r w:rsidR="004B6C90">
        <w:rPr>
          <w:sz w:val="24"/>
          <w:szCs w:val="24"/>
        </w:rPr>
        <w:t xml:space="preserve"> % </w:t>
      </w:r>
      <w:r w:rsidR="00F140C6" w:rsidRPr="001977C8">
        <w:rPr>
          <w:sz w:val="24"/>
          <w:szCs w:val="24"/>
        </w:rPr>
        <w:t xml:space="preserve"> (з </w:t>
      </w:r>
      <w:r w:rsidR="00B47898">
        <w:rPr>
          <w:sz w:val="24"/>
          <w:szCs w:val="24"/>
        </w:rPr>
        <w:t>4723 грн. до 6000</w:t>
      </w:r>
      <w:r w:rsidR="00F140C6" w:rsidRPr="001977C8">
        <w:rPr>
          <w:sz w:val="24"/>
          <w:szCs w:val="24"/>
        </w:rPr>
        <w:t xml:space="preserve"> грн.)</w:t>
      </w:r>
      <w:r w:rsidR="00FA439C">
        <w:rPr>
          <w:sz w:val="24"/>
          <w:szCs w:val="24"/>
        </w:rPr>
        <w:t xml:space="preserve"> та підвищення прожиткового мінімуму до 2189 грн.</w:t>
      </w:r>
      <w:r w:rsidR="00B4659D">
        <w:rPr>
          <w:sz w:val="24"/>
          <w:szCs w:val="24"/>
        </w:rPr>
        <w:t xml:space="preserve"> Внаслідок чого збільшився фонд оплати праці</w:t>
      </w:r>
      <w:r w:rsidR="00B020D1">
        <w:rPr>
          <w:sz w:val="24"/>
          <w:szCs w:val="24"/>
        </w:rPr>
        <w:t xml:space="preserve"> майже на 46%. Також зро</w:t>
      </w:r>
      <w:r w:rsidR="00CF0C5D">
        <w:rPr>
          <w:sz w:val="24"/>
          <w:szCs w:val="24"/>
        </w:rPr>
        <w:t xml:space="preserve">сли витрати на оренду приміщень та </w:t>
      </w:r>
      <w:r w:rsidR="00273B4C" w:rsidRPr="001977C8">
        <w:rPr>
          <w:sz w:val="24"/>
          <w:szCs w:val="24"/>
        </w:rPr>
        <w:t xml:space="preserve"> </w:t>
      </w:r>
      <w:r w:rsidR="00CF0C5D">
        <w:rPr>
          <w:sz w:val="24"/>
          <w:szCs w:val="24"/>
        </w:rPr>
        <w:t>енергоносії</w:t>
      </w:r>
      <w:r w:rsidR="00B020D1">
        <w:rPr>
          <w:sz w:val="24"/>
          <w:szCs w:val="24"/>
        </w:rPr>
        <w:t>.</w:t>
      </w:r>
    </w:p>
    <w:p w:rsidR="00A031F8" w:rsidRPr="001977C8" w:rsidRDefault="00680004" w:rsidP="00A031F8">
      <w:pPr>
        <w:ind w:firstLine="567"/>
        <w:jc w:val="both"/>
        <w:rPr>
          <w:sz w:val="24"/>
          <w:szCs w:val="24"/>
        </w:rPr>
      </w:pPr>
      <w:r w:rsidRPr="00680004">
        <w:rPr>
          <w:sz w:val="24"/>
          <w:szCs w:val="24"/>
        </w:rPr>
        <w:t>При діючому тарифі п</w:t>
      </w:r>
      <w:r w:rsidR="00F140C6" w:rsidRPr="00680004">
        <w:rPr>
          <w:sz w:val="24"/>
          <w:szCs w:val="24"/>
        </w:rPr>
        <w:t>роблема</w:t>
      </w:r>
      <w:r w:rsidR="007907C1" w:rsidRPr="00680004">
        <w:rPr>
          <w:sz w:val="24"/>
          <w:szCs w:val="24"/>
        </w:rPr>
        <w:t xml:space="preserve"> </w:t>
      </w:r>
      <w:r w:rsidRPr="00680004">
        <w:rPr>
          <w:sz w:val="24"/>
          <w:szCs w:val="24"/>
        </w:rPr>
        <w:t xml:space="preserve">полягає </w:t>
      </w:r>
      <w:r w:rsidR="007907C1" w:rsidRPr="00680004">
        <w:rPr>
          <w:sz w:val="24"/>
          <w:szCs w:val="24"/>
        </w:rPr>
        <w:t xml:space="preserve">в </w:t>
      </w:r>
      <w:r w:rsidRPr="00680004">
        <w:rPr>
          <w:sz w:val="24"/>
          <w:szCs w:val="24"/>
        </w:rPr>
        <w:t xml:space="preserve">недостатньому відшкодуванні фактичних витрат на виробництво цих послуг тому існує </w:t>
      </w:r>
      <w:r w:rsidR="007907C1" w:rsidRPr="00680004">
        <w:rPr>
          <w:sz w:val="24"/>
          <w:szCs w:val="24"/>
        </w:rPr>
        <w:t>необхі</w:t>
      </w:r>
      <w:r w:rsidRPr="00680004">
        <w:rPr>
          <w:sz w:val="24"/>
          <w:szCs w:val="24"/>
        </w:rPr>
        <w:t>дність</w:t>
      </w:r>
      <w:r w:rsidR="007907C1" w:rsidRPr="00680004">
        <w:rPr>
          <w:sz w:val="24"/>
          <w:szCs w:val="24"/>
        </w:rPr>
        <w:t xml:space="preserve"> перегляду діючого тарифу</w:t>
      </w:r>
      <w:r w:rsidR="00F140C6" w:rsidRPr="00680004">
        <w:rPr>
          <w:sz w:val="24"/>
          <w:szCs w:val="24"/>
        </w:rPr>
        <w:t xml:space="preserve"> на послуги </w:t>
      </w:r>
      <w:r w:rsidR="00751E63" w:rsidRPr="00680004">
        <w:rPr>
          <w:sz w:val="24"/>
          <w:szCs w:val="24"/>
        </w:rPr>
        <w:t xml:space="preserve">з </w:t>
      </w:r>
      <w:r w:rsidR="00F140C6" w:rsidRPr="00680004">
        <w:rPr>
          <w:sz w:val="24"/>
          <w:szCs w:val="24"/>
        </w:rPr>
        <w:t>технічної інвентаризації</w:t>
      </w:r>
      <w:r w:rsidR="00C31F04" w:rsidRPr="00680004">
        <w:rPr>
          <w:sz w:val="24"/>
          <w:szCs w:val="24"/>
        </w:rPr>
        <w:t>.</w:t>
      </w:r>
      <w:r w:rsidR="00F140C6" w:rsidRPr="001977C8">
        <w:rPr>
          <w:sz w:val="24"/>
          <w:szCs w:val="24"/>
        </w:rPr>
        <w:t xml:space="preserve">  </w:t>
      </w:r>
      <w:r>
        <w:rPr>
          <w:sz w:val="24"/>
          <w:szCs w:val="24"/>
        </w:rPr>
        <w:t>Використання діючого тарифу погіршує фінансовий стан</w:t>
      </w:r>
      <w:r w:rsidR="00F140C6" w:rsidRPr="001977C8">
        <w:rPr>
          <w:sz w:val="24"/>
          <w:szCs w:val="24"/>
        </w:rPr>
        <w:t xml:space="preserve"> підприємства.</w:t>
      </w:r>
    </w:p>
    <w:p w:rsidR="00DE100E" w:rsidRPr="001977C8" w:rsidRDefault="00810344" w:rsidP="00A031F8">
      <w:pPr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Вартість </w:t>
      </w:r>
      <w:r w:rsidR="005A12A6" w:rsidRPr="001977C8">
        <w:rPr>
          <w:bCs/>
          <w:sz w:val="24"/>
          <w:szCs w:val="24"/>
        </w:rPr>
        <w:t>1-ї нормо-години на роботи і по</w:t>
      </w:r>
      <w:r w:rsidR="007907C1" w:rsidRPr="001977C8">
        <w:rPr>
          <w:bCs/>
          <w:sz w:val="24"/>
          <w:szCs w:val="24"/>
        </w:rPr>
        <w:t>слуги</w:t>
      </w:r>
      <w:r w:rsidRPr="001977C8">
        <w:rPr>
          <w:bCs/>
          <w:sz w:val="24"/>
          <w:szCs w:val="24"/>
        </w:rPr>
        <w:t xml:space="preserve"> була розрахована на о</w:t>
      </w:r>
      <w:r w:rsidR="00CF0C5D">
        <w:rPr>
          <w:bCs/>
          <w:sz w:val="24"/>
          <w:szCs w:val="24"/>
        </w:rPr>
        <w:t>снові  фактичних витрат  за 2020</w:t>
      </w:r>
      <w:r w:rsidRPr="001977C8">
        <w:rPr>
          <w:bCs/>
          <w:sz w:val="24"/>
          <w:szCs w:val="24"/>
        </w:rPr>
        <w:t xml:space="preserve"> рік</w:t>
      </w:r>
      <w:r w:rsidR="001A1932" w:rsidRPr="001977C8">
        <w:rPr>
          <w:bCs/>
          <w:sz w:val="24"/>
          <w:szCs w:val="24"/>
        </w:rPr>
        <w:t xml:space="preserve">. 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Основними складов</w:t>
      </w:r>
      <w:r w:rsidR="00491487" w:rsidRPr="001977C8">
        <w:rPr>
          <w:sz w:val="24"/>
          <w:szCs w:val="24"/>
        </w:rPr>
        <w:t>ими вартості 1-ї нормо-години</w:t>
      </w:r>
      <w:r w:rsidRPr="001977C8">
        <w:rPr>
          <w:sz w:val="24"/>
          <w:szCs w:val="24"/>
        </w:rPr>
        <w:t xml:space="preserve"> є:</w:t>
      </w:r>
    </w:p>
    <w:p w:rsidR="00DE100E" w:rsidRPr="001977C8" w:rsidRDefault="00DE100E" w:rsidP="00DE100E">
      <w:pPr>
        <w:ind w:left="360"/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- </w:t>
      </w:r>
      <w:r w:rsidR="00491487" w:rsidRPr="001977C8">
        <w:rPr>
          <w:sz w:val="24"/>
          <w:szCs w:val="24"/>
        </w:rPr>
        <w:t xml:space="preserve">  оплата </w:t>
      </w:r>
      <w:r w:rsidR="003F37F3" w:rsidRPr="001977C8">
        <w:rPr>
          <w:sz w:val="24"/>
          <w:szCs w:val="24"/>
        </w:rPr>
        <w:t>праці працівників</w:t>
      </w:r>
      <w:r w:rsidRPr="001977C8">
        <w:rPr>
          <w:sz w:val="24"/>
          <w:szCs w:val="24"/>
        </w:rPr>
        <w:t>;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нарахування на заробітну плату;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</w:t>
      </w:r>
      <w:r w:rsidR="000E0449" w:rsidRPr="001977C8">
        <w:rPr>
          <w:sz w:val="24"/>
          <w:szCs w:val="24"/>
        </w:rPr>
        <w:t>канцелярські товари та інші необхідні товари і послуги</w:t>
      </w:r>
      <w:r w:rsidRPr="001977C8">
        <w:rPr>
          <w:sz w:val="24"/>
          <w:szCs w:val="24"/>
        </w:rPr>
        <w:t>;</w:t>
      </w:r>
    </w:p>
    <w:p w:rsidR="000E0449" w:rsidRPr="001977C8" w:rsidRDefault="003F37F3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</w:t>
      </w:r>
      <w:r w:rsidR="00DE100E" w:rsidRPr="001977C8">
        <w:rPr>
          <w:sz w:val="24"/>
          <w:szCs w:val="24"/>
        </w:rPr>
        <w:t>витрати</w:t>
      </w:r>
      <w:r w:rsidRPr="001977C8">
        <w:rPr>
          <w:sz w:val="24"/>
          <w:szCs w:val="24"/>
        </w:rPr>
        <w:t xml:space="preserve"> </w:t>
      </w:r>
      <w:r w:rsidR="000E0449" w:rsidRPr="001977C8">
        <w:rPr>
          <w:sz w:val="24"/>
          <w:szCs w:val="24"/>
        </w:rPr>
        <w:t xml:space="preserve">на оренду приміщення та електроенергію. </w:t>
      </w:r>
    </w:p>
    <w:p w:rsidR="00DE100E" w:rsidRPr="001977C8" w:rsidRDefault="000E0449" w:rsidP="000E0449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sz w:val="24"/>
          <w:szCs w:val="24"/>
        </w:rPr>
        <w:t>Під час дії затвердженого тарифу  значно зросли</w:t>
      </w:r>
      <w:r w:rsidR="003D5663" w:rsidRPr="001977C8">
        <w:rPr>
          <w:sz w:val="24"/>
          <w:szCs w:val="24"/>
        </w:rPr>
        <w:t xml:space="preserve"> витрати комунального підприємства </w:t>
      </w:r>
      <w:r w:rsidR="003D5663" w:rsidRPr="001977C8">
        <w:rPr>
          <w:rStyle w:val="23"/>
          <w:sz w:val="24"/>
          <w:szCs w:val="24"/>
        </w:rPr>
        <w:t>"</w:t>
      </w:r>
      <w:r w:rsidR="003D5663" w:rsidRPr="001977C8">
        <w:rPr>
          <w:sz w:val="24"/>
          <w:szCs w:val="24"/>
        </w:rPr>
        <w:t>Бюро технічної інвентаризації", які не залежать від госпо</w:t>
      </w:r>
      <w:r w:rsidR="003D5530" w:rsidRPr="001977C8">
        <w:rPr>
          <w:sz w:val="24"/>
          <w:szCs w:val="24"/>
        </w:rPr>
        <w:t>дарської діяльності підприємст</w:t>
      </w:r>
      <w:r w:rsidR="003D5530" w:rsidRPr="001977C8">
        <w:rPr>
          <w:bCs/>
          <w:sz w:val="24"/>
          <w:szCs w:val="24"/>
        </w:rPr>
        <w:t>ва</w:t>
      </w:r>
      <w:r w:rsidR="00DE100E" w:rsidRPr="001977C8">
        <w:rPr>
          <w:bCs/>
          <w:sz w:val="24"/>
          <w:szCs w:val="24"/>
        </w:rPr>
        <w:t>:</w:t>
      </w:r>
    </w:p>
    <w:p w:rsidR="00DE100E" w:rsidRPr="001977C8" w:rsidRDefault="00DE100E" w:rsidP="00DE100E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           -  </w:t>
      </w:r>
      <w:r w:rsidR="00485162" w:rsidRPr="001977C8">
        <w:rPr>
          <w:bCs/>
          <w:sz w:val="24"/>
          <w:szCs w:val="24"/>
        </w:rPr>
        <w:t xml:space="preserve">мінімальна заробітна плата з </w:t>
      </w:r>
      <w:r w:rsidR="00CF0C5D">
        <w:rPr>
          <w:bCs/>
          <w:sz w:val="24"/>
          <w:szCs w:val="24"/>
        </w:rPr>
        <w:t>4723 грн. зросла до 6000</w:t>
      </w:r>
      <w:r w:rsidR="00485162" w:rsidRPr="001977C8">
        <w:rPr>
          <w:bCs/>
          <w:sz w:val="24"/>
          <w:szCs w:val="24"/>
        </w:rPr>
        <w:t xml:space="preserve"> грн.</w:t>
      </w:r>
      <w:r w:rsidR="00CF0C5D">
        <w:rPr>
          <w:bCs/>
          <w:sz w:val="24"/>
          <w:szCs w:val="24"/>
        </w:rPr>
        <w:t xml:space="preserve"> або на 27</w:t>
      </w:r>
      <w:r w:rsidR="00333AEA">
        <w:rPr>
          <w:bCs/>
          <w:sz w:val="24"/>
          <w:szCs w:val="24"/>
        </w:rPr>
        <w:t>%</w:t>
      </w:r>
      <w:r w:rsidRPr="001977C8">
        <w:rPr>
          <w:bCs/>
          <w:sz w:val="24"/>
          <w:szCs w:val="24"/>
        </w:rPr>
        <w:t>;</w:t>
      </w:r>
    </w:p>
    <w:p w:rsidR="00DE100E" w:rsidRPr="001977C8" w:rsidRDefault="00DE100E" w:rsidP="00DE100E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           </w:t>
      </w:r>
      <w:r w:rsidRPr="00556E8F">
        <w:rPr>
          <w:bCs/>
          <w:sz w:val="24"/>
          <w:szCs w:val="24"/>
        </w:rPr>
        <w:t xml:space="preserve">- </w:t>
      </w:r>
      <w:r w:rsidR="000C1C1C" w:rsidRPr="00556E8F">
        <w:rPr>
          <w:bCs/>
          <w:sz w:val="24"/>
          <w:szCs w:val="24"/>
        </w:rPr>
        <w:t xml:space="preserve"> </w:t>
      </w:r>
      <w:r w:rsidR="00133498" w:rsidRPr="00556E8F">
        <w:rPr>
          <w:bCs/>
          <w:sz w:val="24"/>
          <w:szCs w:val="24"/>
        </w:rPr>
        <w:t>витрати</w:t>
      </w:r>
      <w:r w:rsidR="00133498" w:rsidRPr="00556E8F">
        <w:rPr>
          <w:sz w:val="24"/>
          <w:szCs w:val="24"/>
        </w:rPr>
        <w:t xml:space="preserve"> на оренду приміщення, електроенергію та опалення </w:t>
      </w:r>
      <w:r w:rsidR="00485162" w:rsidRPr="00556E8F">
        <w:rPr>
          <w:sz w:val="24"/>
          <w:szCs w:val="24"/>
        </w:rPr>
        <w:t xml:space="preserve">зросли </w:t>
      </w:r>
      <w:r w:rsidR="00485162" w:rsidRPr="00556E8F">
        <w:rPr>
          <w:bCs/>
          <w:sz w:val="24"/>
          <w:szCs w:val="24"/>
        </w:rPr>
        <w:t xml:space="preserve"> </w:t>
      </w:r>
      <w:r w:rsidR="00CF0C5D">
        <w:rPr>
          <w:bCs/>
          <w:sz w:val="24"/>
          <w:szCs w:val="24"/>
        </w:rPr>
        <w:t>на 2,6</w:t>
      </w:r>
      <w:r w:rsidR="00485162" w:rsidRPr="00556E8F">
        <w:rPr>
          <w:bCs/>
          <w:sz w:val="24"/>
          <w:szCs w:val="24"/>
        </w:rPr>
        <w:t>%.</w:t>
      </w:r>
    </w:p>
    <w:p w:rsidR="004C27D0" w:rsidRPr="001977C8" w:rsidRDefault="00485162" w:rsidP="00E40D10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Діюча вартість </w:t>
      </w:r>
      <w:r w:rsidRPr="001977C8">
        <w:rPr>
          <w:sz w:val="24"/>
          <w:szCs w:val="24"/>
        </w:rPr>
        <w:t xml:space="preserve">1-ї нормо-години на послуги </w:t>
      </w:r>
      <w:r w:rsidR="004C27D0" w:rsidRPr="001977C8">
        <w:rPr>
          <w:sz w:val="24"/>
          <w:szCs w:val="24"/>
        </w:rPr>
        <w:t>комунального підприємства на теперішній час, не враховує вищезазначене.</w:t>
      </w:r>
      <w:r w:rsidR="00E40D10" w:rsidRPr="001977C8">
        <w:rPr>
          <w:sz w:val="24"/>
          <w:szCs w:val="24"/>
        </w:rPr>
        <w:t xml:space="preserve"> Наслідком цього стало  погіршення фінансового стану підприємства.</w:t>
      </w:r>
    </w:p>
    <w:p w:rsidR="00DE100E" w:rsidRPr="001977C8" w:rsidRDefault="00DE100E" w:rsidP="00E40D10">
      <w:pPr>
        <w:shd w:val="clear" w:color="auto" w:fill="FFFFFF"/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  </w:t>
      </w:r>
      <w:r w:rsidRPr="001977C8">
        <w:rPr>
          <w:color w:val="000000"/>
          <w:sz w:val="24"/>
          <w:szCs w:val="24"/>
        </w:rPr>
        <w:t>Проблема не може бути вирішена за допомогою діючих ринкових механізмів, а також за допомогою діючих регуляторних актів</w:t>
      </w:r>
    </w:p>
    <w:p w:rsidR="00810344" w:rsidRPr="001977C8" w:rsidRDefault="001715B1" w:rsidP="00810344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У зв'язку з цим виникла  необхідність прийняття даного регуляторного акта.</w:t>
      </w:r>
    </w:p>
    <w:p w:rsidR="00611C91" w:rsidRPr="001977C8" w:rsidRDefault="00611C91" w:rsidP="00827064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</w:p>
    <w:p w:rsidR="0067561D" w:rsidRPr="001977C8" w:rsidRDefault="00827064" w:rsidP="00827064">
      <w:pPr>
        <w:widowControl w:val="0"/>
        <w:tabs>
          <w:tab w:val="left" w:pos="1440"/>
        </w:tabs>
        <w:ind w:right="20"/>
        <w:jc w:val="center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>О</w:t>
      </w:r>
      <w:r w:rsidR="0067561D" w:rsidRPr="001977C8">
        <w:rPr>
          <w:b/>
          <w:bCs/>
          <w:sz w:val="24"/>
          <w:szCs w:val="24"/>
        </w:rPr>
        <w:t>сновні групи (підгрупи), на які проблема справляє вплив: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5470"/>
        <w:gridCol w:w="909"/>
      </w:tblGrid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Групи (підгрупи)</w:t>
            </w:r>
          </w:p>
        </w:tc>
        <w:tc>
          <w:tcPr>
            <w:tcW w:w="5470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так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ні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441711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Г</w:t>
            </w:r>
            <w:r w:rsidR="0067561D" w:rsidRPr="001977C8">
              <w:rPr>
                <w:bCs/>
                <w:sz w:val="24"/>
                <w:szCs w:val="24"/>
              </w:rPr>
              <w:t>ромадяни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391D8E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391D8E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E40D10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652010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9A451C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67561D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Суб’єкти господарювання, у тому числі суб’єкти малого підприємництва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652010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9A451C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</w:tbl>
    <w:p w:rsidR="00827064" w:rsidRPr="001977C8" w:rsidRDefault="00827064" w:rsidP="00B537F0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</w:p>
    <w:p w:rsidR="0067561D" w:rsidRPr="001977C8" w:rsidRDefault="005F3AC0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lastRenderedPageBreak/>
        <w:t xml:space="preserve">ІІ. </w:t>
      </w:r>
      <w:r w:rsidR="0067561D" w:rsidRPr="001977C8">
        <w:rPr>
          <w:b/>
          <w:color w:val="000000"/>
          <w:sz w:val="24"/>
          <w:szCs w:val="24"/>
        </w:rPr>
        <w:t>Цілі державного регулювання</w:t>
      </w:r>
    </w:p>
    <w:p w:rsidR="00213935" w:rsidRPr="001977C8" w:rsidRDefault="00213935" w:rsidP="00213935">
      <w:pPr>
        <w:shd w:val="clear" w:color="auto" w:fill="FFFFFF"/>
        <w:ind w:left="20"/>
        <w:rPr>
          <w:b/>
          <w:color w:val="000000"/>
          <w:sz w:val="24"/>
          <w:szCs w:val="24"/>
        </w:rPr>
      </w:pPr>
    </w:p>
    <w:p w:rsidR="00A622F4" w:rsidRPr="001977C8" w:rsidRDefault="00213935" w:rsidP="00110B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Головна ціль даного регуляторного акта  є</w:t>
      </w:r>
      <w:r w:rsidR="00A622F4" w:rsidRPr="001977C8">
        <w:rPr>
          <w:sz w:val="24"/>
          <w:szCs w:val="24"/>
        </w:rPr>
        <w:t>:</w:t>
      </w:r>
    </w:p>
    <w:p w:rsidR="009C14C0" w:rsidRPr="001977C8" w:rsidRDefault="003F43EB" w:rsidP="00A622F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приведення вартості 1-ї </w:t>
      </w:r>
      <w:r w:rsidR="002631B3" w:rsidRPr="001977C8">
        <w:rPr>
          <w:sz w:val="24"/>
          <w:szCs w:val="24"/>
        </w:rPr>
        <w:t>нормо – години на послуги з</w:t>
      </w:r>
      <w:r w:rsidR="00751E63" w:rsidRPr="001977C8">
        <w:rPr>
          <w:sz w:val="24"/>
          <w:szCs w:val="24"/>
        </w:rPr>
        <w:t xml:space="preserve"> технічної </w:t>
      </w:r>
      <w:r w:rsidR="002631B3" w:rsidRPr="001977C8">
        <w:rPr>
          <w:sz w:val="24"/>
          <w:szCs w:val="24"/>
        </w:rPr>
        <w:t xml:space="preserve"> </w:t>
      </w:r>
      <w:r w:rsidR="00680004">
        <w:rPr>
          <w:sz w:val="24"/>
          <w:szCs w:val="24"/>
        </w:rPr>
        <w:t>інвентаризації нерухомого майна</w:t>
      </w:r>
      <w:r w:rsidR="00057F2D" w:rsidRPr="001977C8">
        <w:rPr>
          <w:sz w:val="24"/>
          <w:szCs w:val="24"/>
        </w:rPr>
        <w:t>, які надаються комунальним підприємством до економічно обґрунтованого рівня, що відп</w:t>
      </w:r>
      <w:r w:rsidR="00FE2856" w:rsidRPr="001977C8">
        <w:rPr>
          <w:sz w:val="24"/>
          <w:szCs w:val="24"/>
        </w:rPr>
        <w:t>овідатиме витратам підприємства та призведе до</w:t>
      </w:r>
      <w:r w:rsidR="00587E24" w:rsidRPr="001977C8">
        <w:rPr>
          <w:sz w:val="24"/>
          <w:szCs w:val="24"/>
        </w:rPr>
        <w:t xml:space="preserve"> його</w:t>
      </w:r>
      <w:r w:rsidR="00FE2856" w:rsidRPr="001977C8">
        <w:rPr>
          <w:sz w:val="24"/>
          <w:szCs w:val="24"/>
        </w:rPr>
        <w:t xml:space="preserve"> беззбиткової діяльності</w:t>
      </w:r>
      <w:r w:rsidR="009C14C0" w:rsidRPr="001977C8">
        <w:rPr>
          <w:sz w:val="24"/>
          <w:szCs w:val="24"/>
        </w:rPr>
        <w:t>;</w:t>
      </w:r>
    </w:p>
    <w:p w:rsidR="009C14C0" w:rsidRPr="001977C8" w:rsidRDefault="00587E24" w:rsidP="00A622F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п</w:t>
      </w:r>
      <w:r w:rsidR="009C14C0" w:rsidRPr="001977C8">
        <w:rPr>
          <w:sz w:val="24"/>
          <w:szCs w:val="24"/>
        </w:rPr>
        <w:t>оліпшення якості надання послуг;</w:t>
      </w:r>
      <w:r w:rsidRPr="001977C8">
        <w:rPr>
          <w:sz w:val="24"/>
          <w:szCs w:val="24"/>
        </w:rPr>
        <w:t xml:space="preserve"> </w:t>
      </w:r>
    </w:p>
    <w:p w:rsidR="00680004" w:rsidRPr="00680004" w:rsidRDefault="00751E63" w:rsidP="0068000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</w:t>
      </w:r>
      <w:r w:rsidR="00DC518D" w:rsidRPr="001977C8">
        <w:rPr>
          <w:sz w:val="24"/>
          <w:szCs w:val="24"/>
        </w:rPr>
        <w:t>збільшення надходжень до бюджету міста.</w:t>
      </w:r>
      <w:r w:rsidR="00FE2856" w:rsidRPr="001977C8">
        <w:rPr>
          <w:sz w:val="24"/>
          <w:szCs w:val="24"/>
        </w:rPr>
        <w:t xml:space="preserve"> </w:t>
      </w:r>
    </w:p>
    <w:p w:rsidR="00213935" w:rsidRPr="001977C8" w:rsidRDefault="007B7801" w:rsidP="0068000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Цілі регулювання досягаються недопущенням застосування тарифу понад розмір, встановлений рішенням виконавчого комітету.</w:t>
      </w:r>
    </w:p>
    <w:p w:rsidR="006E08A5" w:rsidRPr="001977C8" w:rsidRDefault="006E08A5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</w:p>
    <w:p w:rsidR="005F3AC0" w:rsidRPr="001977C8" w:rsidRDefault="005F3AC0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>ІІІ. Визначення та оцінка альтернативних способів досягнення цілей</w:t>
      </w:r>
    </w:p>
    <w:p w:rsidR="00836144" w:rsidRPr="001977C8" w:rsidRDefault="00836144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</w:p>
    <w:p w:rsidR="005F3AC0" w:rsidRPr="001977C8" w:rsidRDefault="00827064" w:rsidP="00827064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 xml:space="preserve">1. </w:t>
      </w:r>
      <w:r w:rsidR="005F3AC0" w:rsidRPr="001977C8">
        <w:rPr>
          <w:b/>
          <w:color w:val="000000"/>
          <w:sz w:val="24"/>
          <w:szCs w:val="24"/>
        </w:rPr>
        <w:t>Визначення альтернативних способів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0"/>
        <w:gridCol w:w="6296"/>
      </w:tblGrid>
      <w:tr w:rsidR="005F3AC0" w:rsidRPr="001977C8" w:rsidTr="00062C4E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AC0" w:rsidRPr="001977C8" w:rsidRDefault="005F3AC0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6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AC0" w:rsidRPr="001977C8" w:rsidRDefault="005F3AC0" w:rsidP="00827064">
            <w:pPr>
              <w:jc w:val="center"/>
            </w:pPr>
            <w:r w:rsidRPr="001977C8">
              <w:rPr>
                <w:color w:val="000000"/>
              </w:rPr>
              <w:t>Опис альтернативи</w:t>
            </w:r>
          </w:p>
        </w:tc>
      </w:tr>
      <w:tr w:rsidR="00FA67D9" w:rsidRPr="001977C8" w:rsidTr="00062C4E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E7923">
            <w:r w:rsidRPr="001977C8">
              <w:rPr>
                <w:color w:val="000000"/>
              </w:rPr>
              <w:t>Альтернатива 1:</w:t>
            </w:r>
          </w:p>
          <w:p w:rsidR="00FA67D9" w:rsidRPr="001977C8" w:rsidRDefault="00FA67D9" w:rsidP="006E7923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6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80004">
            <w:pPr>
              <w:jc w:val="both"/>
            </w:pPr>
            <w:r w:rsidRPr="001977C8">
              <w:t>Залишити вартість 1-ї нормо-години  на роботи та послуги, що надаються</w:t>
            </w:r>
            <w:r w:rsidR="00680004">
              <w:t xml:space="preserve"> ЗМКП  "Бюро технічної  інвентари</w:t>
            </w:r>
            <w:r w:rsidRPr="001977C8">
              <w:t>зації" без змін.</w:t>
            </w:r>
          </w:p>
        </w:tc>
      </w:tr>
      <w:tr w:rsidR="00FA67D9" w:rsidRPr="001977C8" w:rsidTr="00062C4E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E7923">
            <w:r w:rsidRPr="001977C8">
              <w:rPr>
                <w:color w:val="000000"/>
              </w:rPr>
              <w:t>Альтернатива 2:</w:t>
            </w:r>
          </w:p>
          <w:p w:rsidR="00FA67D9" w:rsidRPr="001977C8" w:rsidRDefault="00FA67D9" w:rsidP="006E7923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6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80004">
            <w:pPr>
              <w:jc w:val="both"/>
            </w:pPr>
            <w:r w:rsidRPr="001977C8">
              <w:rPr>
                <w:bCs/>
              </w:rPr>
              <w:t xml:space="preserve">Прийняття даного регуляторного акту, що передбачає затвердження економічно обґрунтованої вартості </w:t>
            </w:r>
            <w:r w:rsidRPr="001977C8">
              <w:t xml:space="preserve"> 1-ї нормо-години  на роботи та послуги, що надаються ЗМКП  "Бюро технічної  інвентар</w:t>
            </w:r>
            <w:r w:rsidR="00680004">
              <w:t>и</w:t>
            </w:r>
            <w:r w:rsidRPr="001977C8">
              <w:t>зації"</w:t>
            </w:r>
          </w:p>
        </w:tc>
      </w:tr>
    </w:tbl>
    <w:p w:rsidR="00424540" w:rsidRPr="001977C8" w:rsidRDefault="00424540" w:rsidP="00827064">
      <w:pPr>
        <w:widowControl w:val="0"/>
        <w:tabs>
          <w:tab w:val="left" w:pos="1440"/>
        </w:tabs>
        <w:ind w:left="440" w:right="20"/>
        <w:jc w:val="both"/>
        <w:rPr>
          <w:bCs/>
          <w:sz w:val="24"/>
          <w:szCs w:val="24"/>
        </w:rPr>
      </w:pPr>
    </w:p>
    <w:p w:rsidR="0067561D" w:rsidRPr="001977C8" w:rsidRDefault="00827064" w:rsidP="00827064">
      <w:pPr>
        <w:widowControl w:val="0"/>
        <w:tabs>
          <w:tab w:val="left" w:pos="1440"/>
        </w:tabs>
        <w:ind w:right="20"/>
        <w:jc w:val="both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>2</w:t>
      </w:r>
      <w:r w:rsidRPr="000C54AF">
        <w:rPr>
          <w:b/>
          <w:color w:val="000000"/>
          <w:sz w:val="24"/>
          <w:szCs w:val="24"/>
        </w:rPr>
        <w:t xml:space="preserve">. </w:t>
      </w:r>
      <w:r w:rsidR="00062C4E" w:rsidRPr="000C54AF">
        <w:rPr>
          <w:b/>
          <w:color w:val="000000"/>
          <w:sz w:val="24"/>
          <w:szCs w:val="24"/>
        </w:rPr>
        <w:t>Оцінка вибраних альтернативних способів досягнення цілей</w:t>
      </w:r>
    </w:p>
    <w:p w:rsidR="00062C4E" w:rsidRPr="001977C8" w:rsidRDefault="00062C4E" w:rsidP="00827064">
      <w:pPr>
        <w:widowControl w:val="0"/>
        <w:tabs>
          <w:tab w:val="left" w:pos="1440"/>
        </w:tabs>
        <w:ind w:left="80"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держави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2880"/>
        <w:gridCol w:w="3956"/>
      </w:tblGrid>
      <w:tr w:rsidR="00062C4E" w:rsidRPr="001977C8" w:rsidTr="00062C4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8C0709" w:rsidRPr="001977C8" w:rsidTr="00062C4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09" w:rsidRPr="001977C8" w:rsidRDefault="008C0709" w:rsidP="00827064">
            <w:r w:rsidRPr="001977C8">
              <w:rPr>
                <w:color w:val="000000"/>
              </w:rPr>
              <w:t>Альтернатива 1:</w:t>
            </w:r>
          </w:p>
          <w:p w:rsidR="008C0709" w:rsidRPr="001977C8" w:rsidRDefault="00677EEE" w:rsidP="00827064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09" w:rsidRPr="001977C8" w:rsidRDefault="00FA67D9" w:rsidP="001B775B">
            <w:pPr>
              <w:jc w:val="both"/>
            </w:pPr>
            <w:r w:rsidRPr="001977C8">
              <w:rPr>
                <w:color w:val="000000"/>
              </w:rPr>
              <w:t xml:space="preserve">Економія робочого часу спеціалістів, пов'язаних з </w:t>
            </w:r>
            <w:r w:rsidR="002E4187" w:rsidRPr="001977C8">
              <w:rPr>
                <w:color w:val="000000"/>
              </w:rPr>
              <w:t>підготовкою регуляторного акту з аналізом регуляторного впливу</w:t>
            </w:r>
            <w:r w:rsidR="002E4187" w:rsidRPr="001977C8">
              <w:t>.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4AF" w:rsidRPr="00E422EA" w:rsidRDefault="000C54AF" w:rsidP="000C54AF">
            <w:pPr>
              <w:jc w:val="both"/>
            </w:pPr>
            <w:r>
              <w:rPr>
                <w:color w:val="000000"/>
              </w:rPr>
              <w:t xml:space="preserve">Втрата частини власних надходжень підприємства, від сплати за </w:t>
            </w:r>
            <w:r w:rsidR="00934216">
              <w:rPr>
                <w:color w:val="000000"/>
              </w:rPr>
              <w:t>надані послуги</w:t>
            </w:r>
            <w:r>
              <w:rPr>
                <w:color w:val="000000"/>
              </w:rPr>
              <w:t>, негативно вплине на  ма</w:t>
            </w:r>
            <w:r w:rsidR="00934216">
              <w:rPr>
                <w:color w:val="000000"/>
              </w:rPr>
              <w:t>теріально-технічну базу підприємства</w:t>
            </w:r>
            <w:r>
              <w:rPr>
                <w:color w:val="000000"/>
              </w:rPr>
              <w:t xml:space="preserve">.  </w:t>
            </w:r>
          </w:p>
          <w:p w:rsidR="008C0709" w:rsidRPr="001977C8" w:rsidRDefault="008C0709" w:rsidP="00B0297A">
            <w:pPr>
              <w:jc w:val="both"/>
            </w:pPr>
          </w:p>
        </w:tc>
      </w:tr>
      <w:tr w:rsidR="00934216" w:rsidRPr="001977C8" w:rsidTr="00504135">
        <w:trPr>
          <w:trHeight w:val="612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1977C8" w:rsidRDefault="00934216" w:rsidP="00827064">
            <w:r w:rsidRPr="001977C8">
              <w:rPr>
                <w:color w:val="000000"/>
              </w:rPr>
              <w:t>Альтернатива 2:</w:t>
            </w:r>
          </w:p>
          <w:p w:rsidR="00934216" w:rsidRPr="001977C8" w:rsidRDefault="00934216" w:rsidP="00827064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E422EA" w:rsidRDefault="00934216" w:rsidP="008F417A">
            <w:pPr>
              <w:jc w:val="both"/>
            </w:pPr>
            <w:r>
              <w:rPr>
                <w:color w:val="000000"/>
              </w:rPr>
              <w:t>Надходження коштів від наданих послуг  за економічно обґрунтованими тарифами дасть можливість підприємству поліпшити матеріально-технічну базу.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E422EA" w:rsidRDefault="00934216" w:rsidP="008F417A">
            <w:pPr>
              <w:jc w:val="both"/>
            </w:pPr>
            <w:r w:rsidRPr="00E422EA">
              <w:rPr>
                <w:color w:val="000000"/>
              </w:rPr>
              <w:t>Витрати робочого часу спеціалістів, пов'язаних з підготовкою регуляторного акту з аналізом регуляторного впливу.</w:t>
            </w:r>
          </w:p>
        </w:tc>
      </w:tr>
    </w:tbl>
    <w:p w:rsidR="0029557D" w:rsidRPr="001977C8" w:rsidRDefault="0029557D" w:rsidP="00827064">
      <w:pPr>
        <w:widowControl w:val="0"/>
        <w:tabs>
          <w:tab w:val="left" w:pos="1440"/>
        </w:tabs>
        <w:ind w:right="23"/>
        <w:jc w:val="both"/>
        <w:rPr>
          <w:b/>
          <w:bCs/>
          <w:sz w:val="24"/>
          <w:szCs w:val="24"/>
        </w:rPr>
      </w:pPr>
    </w:p>
    <w:p w:rsidR="00BB07F7" w:rsidRPr="001977C8" w:rsidRDefault="00424540" w:rsidP="00827064">
      <w:pPr>
        <w:widowControl w:val="0"/>
        <w:tabs>
          <w:tab w:val="left" w:pos="1440"/>
        </w:tabs>
        <w:ind w:left="80" w:right="23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громадян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717"/>
        <w:gridCol w:w="3119"/>
      </w:tblGrid>
      <w:tr w:rsidR="00BB07F7" w:rsidRPr="001977C8" w:rsidTr="00D303F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3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677EEE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677EEE" w:rsidP="00B0297A">
            <w:r w:rsidRPr="001977C8">
              <w:rPr>
                <w:color w:val="000000"/>
              </w:rPr>
              <w:t>Альтернатива 1:</w:t>
            </w:r>
          </w:p>
          <w:p w:rsidR="00677EEE" w:rsidRPr="001977C8" w:rsidRDefault="00677EEE" w:rsidP="00B0297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B832E3" w:rsidP="001B775B">
            <w:pPr>
              <w:jc w:val="both"/>
            </w:pPr>
            <w:r w:rsidRPr="001977C8">
              <w:rPr>
                <w:color w:val="000000"/>
              </w:rPr>
              <w:t>С</w:t>
            </w:r>
            <w:r w:rsidR="0021568F" w:rsidRPr="001977C8">
              <w:t xml:space="preserve">поживачі </w:t>
            </w:r>
            <w:r w:rsidRPr="001977C8">
              <w:t xml:space="preserve">послуг не </w:t>
            </w:r>
            <w:r w:rsidR="0021568F" w:rsidRPr="001977C8">
              <w:t>зазнаю</w:t>
            </w:r>
            <w:r w:rsidRPr="001977C8">
              <w:t>ть додаткових витрат</w:t>
            </w:r>
            <w:r w:rsidR="0021568F" w:rsidRPr="001977C8"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B832E3" w:rsidP="00D303FE">
            <w:r w:rsidRPr="001977C8">
              <w:rPr>
                <w:color w:val="000000"/>
              </w:rPr>
              <w:t>Відсутні</w:t>
            </w:r>
          </w:p>
        </w:tc>
      </w:tr>
      <w:tr w:rsidR="00677EEE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677EEE" w:rsidP="00B0297A">
            <w:r w:rsidRPr="001977C8">
              <w:rPr>
                <w:color w:val="000000"/>
              </w:rPr>
              <w:t>Альтернатива 2:</w:t>
            </w:r>
          </w:p>
          <w:p w:rsidR="00677EEE" w:rsidRPr="001977C8" w:rsidRDefault="00677EEE" w:rsidP="00B0297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FE0296" w:rsidP="00680004">
            <w:pPr>
              <w:jc w:val="both"/>
            </w:pPr>
            <w:r w:rsidRPr="001977C8">
              <w:rPr>
                <w:color w:val="000000"/>
              </w:rPr>
              <w:t>Захист громадян від необґрунтованого зростання розміру плати за послуги</w:t>
            </w:r>
            <w:r w:rsidR="00A81D08" w:rsidRPr="001977C8">
              <w:rPr>
                <w:color w:val="000000"/>
              </w:rPr>
              <w:t xml:space="preserve">, що надаються </w:t>
            </w:r>
            <w:r w:rsidR="00A81D08" w:rsidRPr="001977C8">
              <w:t>ЗМКП  "Бюро технічної  інвентар</w:t>
            </w:r>
            <w:r w:rsidR="00680004">
              <w:t>и</w:t>
            </w:r>
            <w:r w:rsidR="00A81D08" w:rsidRPr="001977C8">
              <w:t>зації"</w:t>
            </w:r>
            <w:r w:rsidR="00A81D08" w:rsidRPr="001977C8">
              <w:rPr>
                <w:color w:val="000000"/>
              </w:rPr>
              <w:t>,</w:t>
            </w:r>
            <w:r w:rsidR="001B775B" w:rsidRPr="001977C8">
              <w:rPr>
                <w:color w:val="000000"/>
              </w:rPr>
              <w:t xml:space="preserve"> забезпечення громадян якісними послуга</w:t>
            </w:r>
            <w:r w:rsidR="00A81D08" w:rsidRPr="001977C8">
              <w:rPr>
                <w:color w:val="000000"/>
              </w:rPr>
              <w:t>ми</w:t>
            </w:r>
            <w:r w:rsidR="001B775B" w:rsidRPr="001977C8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4C7A24" w:rsidP="00827064">
            <w:pPr>
              <w:jc w:val="both"/>
            </w:pPr>
            <w:r w:rsidRPr="001977C8">
              <w:t>У зв'язку з підвищенням тарифу споживачі за</w:t>
            </w:r>
            <w:r w:rsidR="00934216">
              <w:t xml:space="preserve">знають додаткових </w:t>
            </w:r>
            <w:r w:rsidR="00934216" w:rsidRPr="00B020D1">
              <w:t xml:space="preserve">витрат приблизно на </w:t>
            </w:r>
            <w:r w:rsidRPr="00B020D1">
              <w:t xml:space="preserve"> </w:t>
            </w:r>
            <w:r w:rsidR="00B6013A" w:rsidRPr="00B020D1">
              <w:t xml:space="preserve">70 </w:t>
            </w:r>
            <w:r w:rsidRPr="00B020D1">
              <w:t>%.</w:t>
            </w:r>
          </w:p>
        </w:tc>
      </w:tr>
    </w:tbl>
    <w:p w:rsidR="00BB07F7" w:rsidRPr="001977C8" w:rsidRDefault="00BB07F7" w:rsidP="00827064">
      <w:pPr>
        <w:widowControl w:val="0"/>
        <w:tabs>
          <w:tab w:val="left" w:pos="1440"/>
        </w:tabs>
        <w:ind w:right="23"/>
        <w:jc w:val="both"/>
        <w:rPr>
          <w:bCs/>
          <w:color w:val="FF0000"/>
          <w:sz w:val="24"/>
          <w:szCs w:val="24"/>
        </w:rPr>
      </w:pPr>
    </w:p>
    <w:p w:rsidR="008D6ACB" w:rsidRPr="001977C8" w:rsidRDefault="00424540" w:rsidP="00003CEB">
      <w:pPr>
        <w:widowControl w:val="0"/>
        <w:tabs>
          <w:tab w:val="left" w:pos="1440"/>
        </w:tabs>
        <w:ind w:right="23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суб</w:t>
      </w:r>
      <w:r w:rsidR="00BB07F7" w:rsidRPr="001977C8">
        <w:rPr>
          <w:bCs/>
          <w:sz w:val="24"/>
          <w:szCs w:val="24"/>
        </w:rPr>
        <w:t>'</w:t>
      </w:r>
      <w:r w:rsidRPr="001977C8">
        <w:rPr>
          <w:bCs/>
          <w:sz w:val="24"/>
          <w:szCs w:val="24"/>
        </w:rPr>
        <w:t>єктів господарювання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7"/>
        <w:gridCol w:w="1133"/>
        <w:gridCol w:w="1135"/>
        <w:gridCol w:w="1133"/>
        <w:gridCol w:w="992"/>
        <w:gridCol w:w="998"/>
      </w:tblGrid>
      <w:tr w:rsidR="00424540" w:rsidRPr="001977C8" w:rsidTr="00D303FE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Показник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Великі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Середні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Малі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proofErr w:type="spellStart"/>
            <w:r w:rsidRPr="001977C8">
              <w:t>Мікро</w:t>
            </w:r>
            <w:proofErr w:type="spellEnd"/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Разом</w:t>
            </w:r>
          </w:p>
        </w:tc>
      </w:tr>
      <w:tr w:rsidR="00424540" w:rsidRPr="001977C8" w:rsidTr="00D303FE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textAlignment w:val="baseline"/>
            </w:pPr>
            <w:r w:rsidRPr="001977C8">
              <w:t>Кількість суб’єктів господарювання, що підпадають під дію регулювання</w:t>
            </w:r>
            <w:r w:rsidR="00AD2471" w:rsidRPr="001977C8">
              <w:t xml:space="preserve"> </w:t>
            </w:r>
            <w:r w:rsidRPr="001977C8">
              <w:t>, одиниць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D303FE">
            <w:pPr>
              <w:pStyle w:val="a7"/>
              <w:spacing w:after="0" w:line="240" w:lineRule="auto"/>
              <w:ind w:left="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1977C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B020D1" w:rsidP="00827064">
            <w:pPr>
              <w:jc w:val="center"/>
              <w:textAlignment w:val="baseline"/>
            </w:pPr>
            <w: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27064">
            <w:pPr>
              <w:jc w:val="center"/>
              <w:textAlignment w:val="baseline"/>
            </w:pPr>
            <w:r w:rsidRPr="00556E8F"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B020D1" w:rsidP="00827064">
            <w:pPr>
              <w:jc w:val="center"/>
              <w:textAlignment w:val="baseline"/>
            </w:pPr>
            <w:r>
              <w:t>6</w:t>
            </w:r>
          </w:p>
        </w:tc>
      </w:tr>
      <w:tr w:rsidR="00424540" w:rsidRPr="001977C8" w:rsidTr="00D303FE">
        <w:trPr>
          <w:trHeight w:val="568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textAlignment w:val="baseline"/>
            </w:pPr>
            <w:r w:rsidRPr="001977C8">
              <w:t>Питома вага групи у загальній кількості, відсотків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16577">
            <w:pPr>
              <w:jc w:val="center"/>
            </w:pPr>
            <w:r w:rsidRPr="00556E8F">
              <w:t>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27064">
            <w:pPr>
              <w:jc w:val="center"/>
            </w:pPr>
            <w:r w:rsidRPr="00556E8F"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00649A" w:rsidP="00827064">
            <w:pPr>
              <w:jc w:val="center"/>
              <w:textAlignment w:val="baseline"/>
            </w:pPr>
            <w:r w:rsidRPr="00556E8F">
              <w:t>100</w:t>
            </w:r>
          </w:p>
        </w:tc>
      </w:tr>
    </w:tbl>
    <w:p w:rsidR="00424540" w:rsidRPr="001977C8" w:rsidRDefault="00424540" w:rsidP="00827064">
      <w:pPr>
        <w:shd w:val="clear" w:color="auto" w:fill="FFFFFF"/>
        <w:textAlignment w:val="baseline"/>
        <w:rPr>
          <w:bdr w:val="none" w:sz="0" w:space="0" w:color="auto" w:frame="1"/>
        </w:rPr>
      </w:pPr>
    </w:p>
    <w:p w:rsidR="00AD2471" w:rsidRPr="00B537F0" w:rsidRDefault="00B537F0" w:rsidP="00827064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   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576"/>
        <w:gridCol w:w="3543"/>
      </w:tblGrid>
      <w:tr w:rsidR="00BB07F7" w:rsidRPr="001977C8" w:rsidTr="00D303F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lastRenderedPageBreak/>
              <w:t>Вид альтернативи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8D6ACB" w:rsidRPr="001977C8" w:rsidTr="008B15AD">
        <w:trPr>
          <w:trHeight w:val="634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8D6ACB" w:rsidP="005843F5">
            <w:r w:rsidRPr="001977C8">
              <w:rPr>
                <w:color w:val="000000"/>
              </w:rPr>
              <w:t>Альтернатива 1:</w:t>
            </w:r>
          </w:p>
          <w:p w:rsidR="008D6ACB" w:rsidRPr="001977C8" w:rsidRDefault="008D6ACB" w:rsidP="005843F5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A" w:rsidRPr="005A2741" w:rsidRDefault="00AF5122" w:rsidP="008F417A">
            <w:pPr>
              <w:jc w:val="both"/>
            </w:pPr>
            <w:r w:rsidRPr="001977C8">
              <w:rPr>
                <w:color w:val="000000"/>
              </w:rPr>
              <w:t xml:space="preserve">Суб'єкти господарювання </w:t>
            </w:r>
            <w:r w:rsidR="002A0BD6" w:rsidRPr="001977C8">
              <w:rPr>
                <w:color w:val="000000"/>
              </w:rPr>
              <w:t>у разі не зміни тарифу</w:t>
            </w:r>
            <w:r w:rsidRPr="001977C8">
              <w:rPr>
                <w:color w:val="000000"/>
              </w:rPr>
              <w:t xml:space="preserve"> не зазнають додаткових витрат</w:t>
            </w:r>
            <w:r w:rsidR="008F417A">
              <w:rPr>
                <w:color w:val="000000"/>
              </w:rPr>
              <w:t>, що дасть можливість зекономлені кошти спрямувати на свій розвиток.</w:t>
            </w:r>
          </w:p>
          <w:p w:rsidR="008D6ACB" w:rsidRPr="001977C8" w:rsidRDefault="008D6ACB" w:rsidP="005843F5">
            <w:pPr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AF5122" w:rsidP="00B0297A">
            <w:r w:rsidRPr="001977C8">
              <w:rPr>
                <w:color w:val="000000"/>
              </w:rPr>
              <w:t>Відсутні</w:t>
            </w:r>
          </w:p>
        </w:tc>
      </w:tr>
      <w:tr w:rsidR="008D6ACB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8D6ACB" w:rsidP="005843F5">
            <w:r w:rsidRPr="001977C8">
              <w:rPr>
                <w:color w:val="000000"/>
              </w:rPr>
              <w:t>Альтернатива 2:</w:t>
            </w:r>
          </w:p>
          <w:p w:rsidR="008D6ACB" w:rsidRPr="001977C8" w:rsidRDefault="008D6ACB" w:rsidP="005843F5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773D55" w:rsidP="00680004">
            <w:pPr>
              <w:jc w:val="both"/>
            </w:pPr>
            <w:r w:rsidRPr="001977C8">
              <w:rPr>
                <w:color w:val="000000"/>
              </w:rPr>
              <w:t xml:space="preserve">Захист суб'єктів господарювання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 w:rsidR="00680004"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>, забезпечення  якісними послугами.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790069" w:rsidP="00B0297A">
            <w:pPr>
              <w:jc w:val="both"/>
            </w:pPr>
            <w:r w:rsidRPr="001977C8">
              <w:rPr>
                <w:color w:val="000000"/>
              </w:rPr>
              <w:t xml:space="preserve">Встановлення нової економічно обґрунтованої вартості 1-ї нормо – години збільшить витрати </w:t>
            </w:r>
            <w:proofErr w:type="spellStart"/>
            <w:r w:rsidRPr="001977C8">
              <w:rPr>
                <w:color w:val="000000"/>
              </w:rPr>
              <w:t>суб</w:t>
            </w:r>
            <w:proofErr w:type="spellEnd"/>
            <w:r w:rsidR="00680004">
              <w:rPr>
                <w:color w:val="000000"/>
                <w:lang w:val="ru-RU"/>
              </w:rPr>
              <w:t>'</w:t>
            </w:r>
            <w:proofErr w:type="spellStart"/>
            <w:r w:rsidRPr="001977C8">
              <w:rPr>
                <w:color w:val="000000"/>
              </w:rPr>
              <w:t>єктів</w:t>
            </w:r>
            <w:proofErr w:type="spellEnd"/>
            <w:r w:rsidRPr="001977C8">
              <w:rPr>
                <w:color w:val="000000"/>
              </w:rPr>
              <w:t xml:space="preserve"> господарювання  </w:t>
            </w:r>
            <w:r w:rsidR="008F417A">
              <w:rPr>
                <w:color w:val="000000"/>
              </w:rPr>
              <w:t xml:space="preserve">приблизно </w:t>
            </w:r>
            <w:r w:rsidR="008F417A" w:rsidRPr="00556D2B">
              <w:rPr>
                <w:color w:val="000000"/>
              </w:rPr>
              <w:t xml:space="preserve">на </w:t>
            </w:r>
            <w:r w:rsidR="002A3A9B">
              <w:rPr>
                <w:color w:val="000000"/>
              </w:rPr>
              <w:t xml:space="preserve">70 </w:t>
            </w:r>
            <w:r w:rsidR="008F417A" w:rsidRPr="00556D2B">
              <w:rPr>
                <w:color w:val="000000"/>
              </w:rPr>
              <w:t>%.</w:t>
            </w:r>
            <w:r w:rsidR="008F417A">
              <w:rPr>
                <w:color w:val="000000"/>
              </w:rPr>
              <w:t xml:space="preserve"> Ці кошти можна було спрямувати на свій розвиток</w:t>
            </w:r>
          </w:p>
        </w:tc>
      </w:tr>
    </w:tbl>
    <w:p w:rsidR="00424540" w:rsidRPr="001977C8" w:rsidRDefault="00424540" w:rsidP="00C10518">
      <w:pPr>
        <w:shd w:val="clear" w:color="auto" w:fill="FFFFFF"/>
        <w:textAlignment w:val="baseline"/>
        <w:rPr>
          <w:b/>
          <w:color w:val="FF0000"/>
          <w:sz w:val="28"/>
          <w:szCs w:val="28"/>
          <w:bdr w:val="none" w:sz="0" w:space="0" w:color="auto" w:frame="1"/>
        </w:rPr>
      </w:pPr>
    </w:p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  <w:r w:rsidRPr="001977C8">
        <w:rPr>
          <w:b/>
          <w:color w:val="FF0000"/>
          <w:sz w:val="28"/>
          <w:szCs w:val="28"/>
          <w:bdr w:val="none" w:sz="0" w:space="0" w:color="auto" w:frame="1"/>
        </w:rPr>
        <w:t xml:space="preserve">       </w:t>
      </w:r>
      <w:r w:rsidRPr="001977C8">
        <w:rPr>
          <w:sz w:val="24"/>
          <w:szCs w:val="24"/>
          <w:bdr w:val="none" w:sz="0" w:space="0" w:color="auto" w:frame="1"/>
        </w:rPr>
        <w:t xml:space="preserve">Кількісне визначення витрат, які будуть виникати внаслідок дії регуляторного акта </w:t>
      </w:r>
    </w:p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784"/>
      </w:tblGrid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FE226E" w:rsidRDefault="0054446F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FE226E">
              <w:rPr>
                <w:bdr w:val="none" w:sz="0" w:space="0" w:color="auto" w:frame="1"/>
              </w:rPr>
              <w:t>Сумарні витрати за альтернативами</w:t>
            </w:r>
          </w:p>
        </w:tc>
        <w:tc>
          <w:tcPr>
            <w:tcW w:w="4785" w:type="dxa"/>
            <w:shd w:val="clear" w:color="auto" w:fill="auto"/>
          </w:tcPr>
          <w:p w:rsidR="0054446F" w:rsidRPr="00FE226E" w:rsidRDefault="0054446F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FE226E">
              <w:rPr>
                <w:bdr w:val="none" w:sz="0" w:space="0" w:color="auto" w:frame="1"/>
              </w:rPr>
              <w:t xml:space="preserve">Сума витрат, </w:t>
            </w:r>
            <w:proofErr w:type="spellStart"/>
            <w:r w:rsidRPr="00FE226E">
              <w:rPr>
                <w:bdr w:val="none" w:sz="0" w:space="0" w:color="auto" w:frame="1"/>
              </w:rPr>
              <w:t>грн</w:t>
            </w:r>
            <w:proofErr w:type="spellEnd"/>
          </w:p>
        </w:tc>
      </w:tr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1977C8" w:rsidRDefault="0054446F" w:rsidP="00CE2FE0">
            <w:r w:rsidRPr="00FE226E">
              <w:rPr>
                <w:color w:val="000000"/>
              </w:rPr>
              <w:t>Альтернатива 1:</w:t>
            </w:r>
          </w:p>
          <w:p w:rsidR="0054446F" w:rsidRPr="001977C8" w:rsidRDefault="0054446F" w:rsidP="00CE2FE0">
            <w:r w:rsidRPr="00FE226E">
              <w:rPr>
                <w:color w:val="000000"/>
              </w:rPr>
              <w:t>залишити без змін</w:t>
            </w:r>
          </w:p>
        </w:tc>
        <w:tc>
          <w:tcPr>
            <w:tcW w:w="4785" w:type="dxa"/>
            <w:shd w:val="clear" w:color="auto" w:fill="auto"/>
          </w:tcPr>
          <w:p w:rsidR="0054446F" w:rsidRPr="00415789" w:rsidRDefault="002A3A9B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107976,</w:t>
            </w:r>
            <w:r w:rsidR="0011707D">
              <w:rPr>
                <w:bdr w:val="none" w:sz="0" w:space="0" w:color="auto" w:frame="1"/>
              </w:rPr>
              <w:t>00</w:t>
            </w:r>
          </w:p>
        </w:tc>
      </w:tr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1977C8" w:rsidRDefault="0054446F" w:rsidP="00CE2FE0">
            <w:r w:rsidRPr="00FE226E">
              <w:rPr>
                <w:color w:val="000000"/>
              </w:rPr>
              <w:t>Альтернатива 2:</w:t>
            </w:r>
          </w:p>
          <w:p w:rsidR="0054446F" w:rsidRPr="001977C8" w:rsidRDefault="0054446F" w:rsidP="00CE2FE0">
            <w:r w:rsidRPr="00FE226E">
              <w:rPr>
                <w:color w:val="000000"/>
              </w:rPr>
              <w:t>прийняття даного рішення</w:t>
            </w:r>
          </w:p>
        </w:tc>
        <w:tc>
          <w:tcPr>
            <w:tcW w:w="4785" w:type="dxa"/>
            <w:shd w:val="clear" w:color="auto" w:fill="auto"/>
          </w:tcPr>
          <w:p w:rsidR="0054446F" w:rsidRPr="00415789" w:rsidRDefault="002A3A9B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1835</w:t>
            </w:r>
            <w:r w:rsidR="0011707D">
              <w:rPr>
                <w:bdr w:val="none" w:sz="0" w:space="0" w:color="auto" w:frame="1"/>
              </w:rPr>
              <w:t>58,00</w:t>
            </w:r>
          </w:p>
        </w:tc>
      </w:tr>
    </w:tbl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sz w:val="24"/>
          <w:szCs w:val="24"/>
          <w:bdr w:val="none" w:sz="0" w:space="0" w:color="auto" w:frame="1"/>
        </w:rPr>
      </w:pPr>
      <w:r w:rsidRPr="001977C8">
        <w:rPr>
          <w:b/>
          <w:bCs/>
          <w:sz w:val="24"/>
          <w:szCs w:val="24"/>
        </w:rPr>
        <w:t>ВИТРАТИ</w:t>
      </w: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>суб’єктів господарювання великого і середнього підприємництва.</w:t>
      </w: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b/>
          <w:bCs/>
          <w:sz w:val="24"/>
          <w:szCs w:val="24"/>
        </w:rPr>
      </w:pPr>
    </w:p>
    <w:p w:rsidR="007356FD" w:rsidRPr="001977C8" w:rsidRDefault="007356FD" w:rsidP="007356FD">
      <w:pPr>
        <w:shd w:val="clear" w:color="auto" w:fill="FFFFFF"/>
        <w:ind w:firstLine="709"/>
        <w:jc w:val="both"/>
        <w:textAlignment w:val="baseline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Витрати суб’єктів господарювання великого і середнього підприємництва, які виникають внаслідок дії регуляторного акта, відсутні, </w:t>
      </w:r>
      <w:r w:rsidR="00A622F4" w:rsidRPr="001977C8">
        <w:rPr>
          <w:bCs/>
          <w:sz w:val="24"/>
          <w:szCs w:val="24"/>
        </w:rPr>
        <w:t>у зв'язку  із відсутністю звернень суб'єктів великого та середнього підприємництва.</w:t>
      </w:r>
      <w:r w:rsidRPr="001977C8">
        <w:rPr>
          <w:bCs/>
          <w:sz w:val="24"/>
          <w:szCs w:val="24"/>
        </w:rPr>
        <w:t xml:space="preserve"> </w:t>
      </w:r>
    </w:p>
    <w:p w:rsidR="00A622F4" w:rsidRPr="001977C8" w:rsidRDefault="00A622F4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  <w:bookmarkStart w:id="0" w:name="n178"/>
      <w:bookmarkEnd w:id="0"/>
    </w:p>
    <w:p w:rsidR="00AC20CD" w:rsidRPr="001977C8" w:rsidRDefault="00062C4E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 xml:space="preserve">ІV. </w:t>
      </w:r>
      <w:r w:rsidR="0073469F" w:rsidRPr="001977C8">
        <w:rPr>
          <w:b/>
          <w:bCs/>
          <w:sz w:val="24"/>
          <w:szCs w:val="24"/>
        </w:rPr>
        <w:t>Вибір найбільш оптимального альтернативного способу досягнення цілей</w:t>
      </w:r>
    </w:p>
    <w:p w:rsidR="00A622F4" w:rsidRPr="001977C8" w:rsidRDefault="00A622F4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0"/>
        <w:gridCol w:w="2641"/>
        <w:gridCol w:w="3038"/>
      </w:tblGrid>
      <w:tr w:rsidR="0073469F" w:rsidRPr="001977C8" w:rsidTr="008F7274"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Бал результативності (за чотирибальною системою оцінки)</w:t>
            </w:r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Коментарі щодо присвоєння відповідного бала</w:t>
            </w:r>
          </w:p>
        </w:tc>
      </w:tr>
      <w:tr w:rsidR="009F50C0" w:rsidRPr="001977C8" w:rsidTr="008F7274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9F50C0" w:rsidP="0072097E">
            <w:r w:rsidRPr="001977C8">
              <w:rPr>
                <w:color w:val="000000"/>
              </w:rPr>
              <w:t>Альтернатива 1:</w:t>
            </w:r>
          </w:p>
          <w:p w:rsidR="009F50C0" w:rsidRPr="001977C8" w:rsidRDefault="009F50C0" w:rsidP="0072097E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C20B43" w:rsidP="00827064">
            <w:pPr>
              <w:jc w:val="center"/>
            </w:pPr>
            <w:r w:rsidRPr="001977C8">
              <w:rPr>
                <w:color w:val="000000"/>
              </w:rPr>
              <w:t>1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C20B43" w:rsidP="00827064">
            <w:pPr>
              <w:jc w:val="both"/>
            </w:pPr>
            <w:r w:rsidRPr="001977C8">
              <w:t>Не сприяє розв'язанню визначеної  проблеми.</w:t>
            </w:r>
          </w:p>
        </w:tc>
      </w:tr>
      <w:tr w:rsidR="009F50C0" w:rsidRPr="001977C8" w:rsidTr="008F7274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9F50C0" w:rsidP="0072097E">
            <w:r w:rsidRPr="001977C8">
              <w:rPr>
                <w:color w:val="000000"/>
              </w:rPr>
              <w:t>Альтернатива 2:</w:t>
            </w:r>
          </w:p>
          <w:p w:rsidR="009F50C0" w:rsidRPr="001977C8" w:rsidRDefault="009F50C0" w:rsidP="0072097E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680004" w:rsidP="00827064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7D1CC0" w:rsidP="00827064">
            <w:pPr>
              <w:jc w:val="both"/>
            </w:pPr>
            <w:r w:rsidRPr="001977C8">
              <w:t>Цілі прийняття регулятор</w:t>
            </w:r>
            <w:r w:rsidR="005D2A5D" w:rsidRPr="001977C8">
              <w:t xml:space="preserve">ного акта будуть досягнуті </w:t>
            </w:r>
            <w:r w:rsidR="00CE4FDF">
              <w:t>майже</w:t>
            </w:r>
            <w:r w:rsidRPr="001977C8">
              <w:t xml:space="preserve"> повною мірою, разом з тим довготривала процедура затвердження тарифів та відсутність можли</w:t>
            </w:r>
            <w:r w:rsidR="00E57E25" w:rsidRPr="001977C8">
              <w:t>вості швидко змінювати</w:t>
            </w:r>
            <w:r w:rsidR="00065B4D" w:rsidRPr="001977C8">
              <w:t xml:space="preserve"> розмір тарифу, у разі зростання мінімальної заробітної плати, тарифів на комунальні послуги  та інші витрати, впливатиме на своєчасне покриття витрат установи, які включаються до собівартості послуг.</w:t>
            </w:r>
          </w:p>
        </w:tc>
      </w:tr>
    </w:tbl>
    <w:p w:rsidR="0073469F" w:rsidRPr="001977C8" w:rsidRDefault="0073469F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81"/>
        <w:gridCol w:w="2099"/>
        <w:gridCol w:w="1783"/>
        <w:gridCol w:w="3318"/>
      </w:tblGrid>
      <w:tr w:rsidR="0073469F" w:rsidRPr="001977C8" w:rsidTr="00CC0D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Рейтинг результативності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Вигоди (підсумок)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Витрати (підсумок)</w:t>
            </w:r>
          </w:p>
        </w:tc>
        <w:tc>
          <w:tcPr>
            <w:tcW w:w="3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proofErr w:type="spellStart"/>
            <w:r w:rsidRPr="001977C8">
              <w:rPr>
                <w:b/>
                <w:color w:val="000000"/>
              </w:rPr>
              <w:t>Обгрунтування</w:t>
            </w:r>
            <w:proofErr w:type="spellEnd"/>
            <w:r w:rsidRPr="001977C8">
              <w:rPr>
                <w:b/>
                <w:color w:val="000000"/>
              </w:rPr>
              <w:t xml:space="preserve"> відповідного місця альтернативи у рейтингу</w:t>
            </w:r>
          </w:p>
        </w:tc>
      </w:tr>
      <w:tr w:rsidR="00CC0D5C" w:rsidRPr="001977C8" w:rsidTr="00CC0D5C"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1: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t>Держава:</w:t>
            </w:r>
            <w:r w:rsidRPr="001977C8">
              <w:rPr>
                <w:color w:val="000000"/>
              </w:rPr>
              <w:t xml:space="preserve"> </w:t>
            </w:r>
          </w:p>
          <w:p w:rsidR="00323751" w:rsidRPr="00DB42ED" w:rsidRDefault="00323751" w:rsidP="00323751">
            <w:pPr>
              <w:jc w:val="both"/>
              <w:rPr>
                <w:i/>
              </w:rPr>
            </w:pPr>
            <w:r w:rsidRPr="001977C8">
              <w:rPr>
                <w:color w:val="000000"/>
              </w:rPr>
              <w:t xml:space="preserve">Економія робочого часу спеціалістів, пов'язаних з </w:t>
            </w:r>
            <w:r w:rsidRPr="001977C8">
              <w:rPr>
                <w:color w:val="000000"/>
              </w:rPr>
              <w:lastRenderedPageBreak/>
              <w:t>підготовкою регуляторного акту з аналізом регуляторного впливу</w:t>
            </w:r>
            <w:r w:rsidRPr="001977C8">
              <w:t>.</w:t>
            </w:r>
          </w:p>
          <w:p w:rsidR="00CC0D5C" w:rsidRDefault="00CC0D5C" w:rsidP="00827064">
            <w:pPr>
              <w:jc w:val="center"/>
            </w:pPr>
          </w:p>
          <w:p w:rsidR="00323751" w:rsidRDefault="00323751" w:rsidP="00827064">
            <w:pPr>
              <w:jc w:val="center"/>
            </w:pPr>
          </w:p>
          <w:p w:rsidR="00323751" w:rsidRDefault="00323751" w:rsidP="00323751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8012C6" w:rsidRDefault="008012C6" w:rsidP="00323751">
            <w:pPr>
              <w:jc w:val="both"/>
            </w:pPr>
            <w:r w:rsidRPr="001977C8">
              <w:rPr>
                <w:color w:val="000000"/>
              </w:rPr>
              <w:t>С</w:t>
            </w:r>
            <w:r w:rsidRPr="001977C8">
              <w:t>поживачі послуг не зазнають додаткових витрат.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323751" w:rsidRPr="001977C8" w:rsidRDefault="008012C6" w:rsidP="008012C6">
            <w:pPr>
              <w:jc w:val="both"/>
            </w:pPr>
            <w:r w:rsidRPr="001977C8">
              <w:rPr>
                <w:color w:val="000000"/>
              </w:rPr>
              <w:t>Суб'єкти господарювання у разі не зміни тарифу не зазнають додаткових витрат</w:t>
            </w:r>
            <w:r>
              <w:rPr>
                <w:color w:val="000000"/>
              </w:rPr>
              <w:t>, що дасть можливість зекономлені кошти спрямувати на свій розвиток.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lastRenderedPageBreak/>
              <w:t>Держава:</w:t>
            </w:r>
            <w:r>
              <w:rPr>
                <w:color w:val="000000"/>
              </w:rPr>
              <w:t xml:space="preserve"> </w:t>
            </w:r>
          </w:p>
          <w:p w:rsidR="00323751" w:rsidRPr="00DB42ED" w:rsidRDefault="00323751" w:rsidP="00323751">
            <w:pPr>
              <w:jc w:val="both"/>
              <w:rPr>
                <w:i/>
              </w:rPr>
            </w:pPr>
            <w:r>
              <w:rPr>
                <w:color w:val="000000"/>
              </w:rPr>
              <w:t xml:space="preserve">Втрата частини власних надходжень </w:t>
            </w:r>
            <w:r>
              <w:rPr>
                <w:color w:val="000000"/>
              </w:rPr>
              <w:lastRenderedPageBreak/>
              <w:t xml:space="preserve">підприємства, від сплати за надані послуги, негативно вплине на  матеріально-технічну базу підприємства.  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CC0D5C" w:rsidRDefault="008012C6" w:rsidP="00CC0D5C">
            <w:r>
              <w:t>Відсутні</w:t>
            </w:r>
          </w:p>
          <w:p w:rsidR="008012C6" w:rsidRDefault="008012C6" w:rsidP="00CC0D5C"/>
          <w:p w:rsidR="008012C6" w:rsidRDefault="008012C6" w:rsidP="00CC0D5C"/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8012C6" w:rsidRPr="001977C8" w:rsidRDefault="008012C6" w:rsidP="00CC0D5C">
            <w:r>
              <w:t>Відсутні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E4FDF" w:rsidP="00827064">
            <w:pPr>
              <w:jc w:val="both"/>
            </w:pPr>
            <w:r>
              <w:lastRenderedPageBreak/>
              <w:t>На відміну від альтернативи 2</w:t>
            </w:r>
            <w:r w:rsidRPr="00B363C5">
              <w:t>, не дає змоги досягнути поставлених цілей державного регулювання.</w:t>
            </w:r>
          </w:p>
        </w:tc>
      </w:tr>
      <w:tr w:rsidR="00CC0D5C" w:rsidRPr="001977C8" w:rsidTr="00CC0D5C"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lastRenderedPageBreak/>
              <w:t>Альтернатива 2: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t>Держава:</w:t>
            </w:r>
            <w:r>
              <w:rPr>
                <w:color w:val="000000"/>
              </w:rPr>
              <w:t xml:space="preserve"> Надходження коштів від наданих послуг  за економічно обґрунтованими тарифами дасть можливість підприємству поліпшити матеріально-технічну базу.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8012C6" w:rsidRPr="00DB42ED" w:rsidRDefault="008012C6" w:rsidP="00323751">
            <w:pPr>
              <w:jc w:val="both"/>
              <w:rPr>
                <w:i/>
              </w:rPr>
            </w:pPr>
            <w:r w:rsidRPr="001977C8">
              <w:rPr>
                <w:color w:val="000000"/>
              </w:rPr>
              <w:t xml:space="preserve">Захист громадян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>, забезпечення громадян якісними послугами.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CC0D5C" w:rsidRPr="001977C8" w:rsidRDefault="008012C6" w:rsidP="00491A17">
            <w:r w:rsidRPr="001977C8">
              <w:rPr>
                <w:color w:val="000000"/>
              </w:rPr>
              <w:t xml:space="preserve">Захист суб'єктів господарювання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>, забезпечення  якісними послугами.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Pr="00556D2B" w:rsidRDefault="00323751" w:rsidP="00323751">
            <w:pPr>
              <w:jc w:val="both"/>
              <w:rPr>
                <w:i/>
              </w:rPr>
            </w:pPr>
            <w:r w:rsidRPr="00556D2B">
              <w:rPr>
                <w:i/>
              </w:rPr>
              <w:t>Держава:</w:t>
            </w:r>
            <w:r w:rsidRPr="00556D2B">
              <w:rPr>
                <w:color w:val="000000"/>
              </w:rPr>
              <w:t xml:space="preserve"> Витрати робочого часу спеціалістів, пов'язаних з підготовкою регуляторного акту з аналізом регуляторного впливу.</w:t>
            </w:r>
          </w:p>
          <w:p w:rsidR="00CC0D5C" w:rsidRPr="00556D2B" w:rsidRDefault="00CC0D5C" w:rsidP="00827064">
            <w:pPr>
              <w:jc w:val="center"/>
            </w:pPr>
          </w:p>
          <w:p w:rsidR="008012C6" w:rsidRPr="00556D2B" w:rsidRDefault="008012C6" w:rsidP="00827064">
            <w:pPr>
              <w:jc w:val="center"/>
            </w:pPr>
          </w:p>
          <w:p w:rsidR="008012C6" w:rsidRPr="00556D2B" w:rsidRDefault="008012C6" w:rsidP="008012C6">
            <w:pPr>
              <w:jc w:val="both"/>
              <w:rPr>
                <w:i/>
              </w:rPr>
            </w:pPr>
            <w:r w:rsidRPr="00556D2B">
              <w:rPr>
                <w:i/>
              </w:rPr>
              <w:t xml:space="preserve">Громадяни: </w:t>
            </w:r>
          </w:p>
          <w:p w:rsidR="008012C6" w:rsidRPr="00556D2B" w:rsidRDefault="008012C6" w:rsidP="008012C6">
            <w:pPr>
              <w:jc w:val="both"/>
            </w:pPr>
            <w:r w:rsidRPr="00556D2B">
              <w:t xml:space="preserve">У зв'язку з підвищенням тарифу споживачі зазнають додаткових витрат приблизно на  </w:t>
            </w:r>
            <w:r w:rsidR="002A3A9B">
              <w:t xml:space="preserve">70 </w:t>
            </w:r>
            <w:r w:rsidRPr="00556D2B">
              <w:t>%.</w:t>
            </w: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  <w:rPr>
                <w:i/>
              </w:rPr>
            </w:pPr>
            <w:r w:rsidRPr="00556D2B">
              <w:rPr>
                <w:i/>
              </w:rPr>
              <w:t>Суб’єкти господарювання:</w:t>
            </w:r>
          </w:p>
          <w:p w:rsidR="008012C6" w:rsidRPr="00556D2B" w:rsidRDefault="008012C6" w:rsidP="008012C6">
            <w:pPr>
              <w:jc w:val="both"/>
            </w:pPr>
            <w:r w:rsidRPr="00556D2B">
              <w:rPr>
                <w:color w:val="000000"/>
              </w:rPr>
              <w:t xml:space="preserve">Встановлення нової економічно обґрунтованої вартості 1-ї нормо – години збільшить витрати </w:t>
            </w:r>
            <w:proofErr w:type="spellStart"/>
            <w:r w:rsidRPr="00556D2B">
              <w:rPr>
                <w:color w:val="000000"/>
              </w:rPr>
              <w:t>суб</w:t>
            </w:r>
            <w:proofErr w:type="spellEnd"/>
            <w:r w:rsidRPr="00556D2B">
              <w:rPr>
                <w:color w:val="000000"/>
                <w:lang w:val="ru-RU"/>
              </w:rPr>
              <w:t>'</w:t>
            </w:r>
            <w:proofErr w:type="spellStart"/>
            <w:r w:rsidRPr="00556D2B">
              <w:rPr>
                <w:color w:val="000000"/>
              </w:rPr>
              <w:t>єктів</w:t>
            </w:r>
            <w:proofErr w:type="spellEnd"/>
            <w:r w:rsidRPr="00556D2B">
              <w:rPr>
                <w:color w:val="000000"/>
              </w:rPr>
              <w:t xml:space="preserve"> господарювання  приблизно на </w:t>
            </w:r>
            <w:r w:rsidR="002A3A9B">
              <w:rPr>
                <w:color w:val="000000"/>
              </w:rPr>
              <w:t>70</w:t>
            </w:r>
            <w:r w:rsidRPr="00556D2B">
              <w:rPr>
                <w:color w:val="000000"/>
              </w:rPr>
              <w:t>%. Ці кошти можна було спрямувати на свій розвиток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E4FDF" w:rsidP="00827064">
            <w:pPr>
              <w:jc w:val="both"/>
            </w:pPr>
            <w:r w:rsidRPr="00B363C5">
              <w:t>Дана альтернатива дає змогу максимально досягнути поставлених цілей державного регулювання:</w:t>
            </w:r>
            <w:r>
              <w:t xml:space="preserve"> з</w:t>
            </w:r>
            <w:r w:rsidRPr="00794A00">
              <w:t xml:space="preserve">більшення доходів від </w:t>
            </w:r>
            <w:r>
              <w:t>надання послуг</w:t>
            </w:r>
            <w:r w:rsidRPr="00794A00">
              <w:t>.</w:t>
            </w:r>
          </w:p>
        </w:tc>
      </w:tr>
    </w:tbl>
    <w:p w:rsidR="0073469F" w:rsidRDefault="0073469F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p w:rsidR="00D776EA" w:rsidRPr="001977C8" w:rsidRDefault="00D776EA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0"/>
        <w:gridCol w:w="3537"/>
        <w:gridCol w:w="3544"/>
      </w:tblGrid>
      <w:tr w:rsidR="0073469F" w:rsidRPr="001977C8" w:rsidTr="008F7274"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lastRenderedPageBreak/>
              <w:t>Рейтинг</w:t>
            </w:r>
          </w:p>
        </w:tc>
        <w:tc>
          <w:tcPr>
            <w:tcW w:w="3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C0D5C" w:rsidRPr="001977C8" w:rsidTr="008F7274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1: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66B" w:rsidRPr="001977C8" w:rsidRDefault="005050E6" w:rsidP="00827064">
            <w:pPr>
              <w:jc w:val="both"/>
            </w:pPr>
            <w:r w:rsidRPr="00F97EC2">
              <w:t>Дана альтернатива не дає можливості досягнути цілей державного регулюванн</w:t>
            </w:r>
            <w:r>
              <w:t>я, на відміну від альтернативи 2</w:t>
            </w:r>
            <w:r w:rsidRPr="00F97EC2">
              <w:t>.</w:t>
            </w:r>
            <w:r>
              <w:t xml:space="preserve"> Залишення без змін діючої вартості </w:t>
            </w:r>
            <w:r w:rsidRPr="00DE4FC3">
              <w:t>послуг  призведе до</w:t>
            </w:r>
            <w:r>
              <w:t xml:space="preserve"> погіршення матеріально-технічної бази підприємства.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6B64A0" w:rsidP="006B64A0">
            <w:pPr>
              <w:jc w:val="center"/>
            </w:pPr>
            <w:r w:rsidRPr="001977C8">
              <w:t>Х</w:t>
            </w:r>
          </w:p>
        </w:tc>
      </w:tr>
      <w:tr w:rsidR="00CC0D5C" w:rsidRPr="001977C8" w:rsidTr="008F7274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2: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A73FDE" w:rsidP="00827064">
            <w:pPr>
              <w:jc w:val="both"/>
            </w:pPr>
            <w:r w:rsidRPr="00F97EC2">
              <w:t>Для досягнення встановлених цілей державного регулювання перевага була надана д</w:t>
            </w:r>
            <w:r w:rsidR="000E2939">
              <w:t xml:space="preserve">аній альтернативі, оскільки </w:t>
            </w:r>
            <w:proofErr w:type="spellStart"/>
            <w:r w:rsidR="000E2939">
              <w:t>проє</w:t>
            </w:r>
            <w:r w:rsidRPr="00F97EC2">
              <w:t>ктом</w:t>
            </w:r>
            <w:proofErr w:type="spellEnd"/>
            <w:r w:rsidRPr="00F97EC2">
              <w:t xml:space="preserve"> рішення запропоновано встано</w:t>
            </w:r>
            <w:r>
              <w:t>влення економічно обґрунтованої вартості послуг</w:t>
            </w:r>
            <w:r w:rsidRPr="00F97EC2">
              <w:t xml:space="preserve">. Прийняття проекту дозволить забезпечити </w:t>
            </w:r>
            <w:r>
              <w:t xml:space="preserve">збільшення власних надходжень підприємства, які можна буде спрямувати на </w:t>
            </w:r>
            <w:r w:rsidR="00CA5948">
              <w:t>свій розвиток.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556D2B" w:rsidP="00D50EF9">
            <w:r w:rsidRPr="00F97EC2">
              <w:t>Проект рішення є нормативно-правових актом, тому зовнішнім ризиком на його дію є внесення змін до чинного законодавства України.</w:t>
            </w:r>
          </w:p>
        </w:tc>
      </w:tr>
    </w:tbl>
    <w:p w:rsidR="00B14AD1" w:rsidRPr="001977C8" w:rsidRDefault="00B14AD1" w:rsidP="00827064">
      <w:pPr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B14AD1" w:rsidRPr="001977C8" w:rsidRDefault="00F5734D" w:rsidP="008B01C2">
      <w:pPr>
        <w:ind w:left="20"/>
        <w:jc w:val="center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 xml:space="preserve">V. </w:t>
      </w:r>
      <w:r w:rsidRPr="00FC5369">
        <w:rPr>
          <w:b/>
          <w:sz w:val="24"/>
          <w:szCs w:val="24"/>
        </w:rPr>
        <w:t>Механізми та заходи, які забезпечать розв’язання визначеної проблеми</w:t>
      </w:r>
    </w:p>
    <w:p w:rsidR="00C038E3" w:rsidRPr="001977C8" w:rsidRDefault="00C038E3" w:rsidP="008B01C2">
      <w:pPr>
        <w:ind w:left="20"/>
        <w:jc w:val="center"/>
        <w:rPr>
          <w:b/>
          <w:sz w:val="24"/>
          <w:szCs w:val="24"/>
        </w:rPr>
      </w:pPr>
    </w:p>
    <w:p w:rsidR="00F324FB" w:rsidRPr="001977C8" w:rsidRDefault="00F324FB" w:rsidP="008F72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Виріше</w:t>
      </w:r>
      <w:r w:rsidR="008966CC" w:rsidRPr="001977C8">
        <w:rPr>
          <w:sz w:val="24"/>
          <w:szCs w:val="24"/>
        </w:rPr>
        <w:t>ння проблеми збитковості тарифу</w:t>
      </w:r>
      <w:r w:rsidR="008C176A" w:rsidRPr="001977C8">
        <w:rPr>
          <w:sz w:val="24"/>
          <w:szCs w:val="24"/>
        </w:rPr>
        <w:t xml:space="preserve"> </w:t>
      </w:r>
      <w:r w:rsidR="008966CC" w:rsidRPr="001977C8">
        <w:rPr>
          <w:sz w:val="24"/>
          <w:szCs w:val="24"/>
        </w:rPr>
        <w:t xml:space="preserve"> на роботи та послуги</w:t>
      </w:r>
      <w:r w:rsidR="00C64D15" w:rsidRPr="001977C8">
        <w:rPr>
          <w:sz w:val="24"/>
          <w:szCs w:val="24"/>
        </w:rPr>
        <w:t xml:space="preserve"> по технічній інвентаризації нерухомого майна</w:t>
      </w:r>
      <w:r w:rsidR="008966CC" w:rsidRPr="001977C8">
        <w:rPr>
          <w:sz w:val="24"/>
          <w:szCs w:val="24"/>
        </w:rPr>
        <w:t xml:space="preserve">, що надаються </w:t>
      </w:r>
      <w:r w:rsidR="005A33FE">
        <w:rPr>
          <w:sz w:val="24"/>
          <w:szCs w:val="24"/>
        </w:rPr>
        <w:t>ЗМКП  "Бюро технічної  інвентари</w:t>
      </w:r>
      <w:r w:rsidR="008966CC" w:rsidRPr="001977C8">
        <w:rPr>
          <w:sz w:val="24"/>
          <w:szCs w:val="24"/>
        </w:rPr>
        <w:t>зації"</w:t>
      </w:r>
      <w:r w:rsidR="00C64D15" w:rsidRPr="001977C8">
        <w:rPr>
          <w:sz w:val="24"/>
          <w:szCs w:val="24"/>
        </w:rPr>
        <w:t>,</w:t>
      </w:r>
      <w:r w:rsidR="008C176A" w:rsidRPr="001977C8">
        <w:rPr>
          <w:sz w:val="24"/>
          <w:szCs w:val="24"/>
        </w:rPr>
        <w:t xml:space="preserve"> пропонується шляхом встановлення на зазначені </w:t>
      </w:r>
      <w:r w:rsidR="00EB560E" w:rsidRPr="001977C8">
        <w:rPr>
          <w:sz w:val="24"/>
          <w:szCs w:val="24"/>
        </w:rPr>
        <w:t xml:space="preserve">послуги </w:t>
      </w:r>
      <w:r w:rsidR="008C176A" w:rsidRPr="001977C8">
        <w:rPr>
          <w:sz w:val="24"/>
          <w:szCs w:val="24"/>
        </w:rPr>
        <w:t xml:space="preserve"> тарифів</w:t>
      </w:r>
      <w:r w:rsidR="00EB560E" w:rsidRPr="001977C8">
        <w:rPr>
          <w:sz w:val="24"/>
          <w:szCs w:val="24"/>
        </w:rPr>
        <w:t>, які відповідають фактичним витратам</w:t>
      </w:r>
      <w:r w:rsidR="008C176A" w:rsidRPr="001977C8">
        <w:rPr>
          <w:sz w:val="24"/>
          <w:szCs w:val="24"/>
        </w:rPr>
        <w:t>.</w:t>
      </w:r>
    </w:p>
    <w:p w:rsidR="008C176A" w:rsidRPr="001977C8" w:rsidRDefault="008C176A" w:rsidP="008F72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У зв'язку з відс</w:t>
      </w:r>
      <w:r w:rsidR="00C64D15" w:rsidRPr="001977C8">
        <w:rPr>
          <w:sz w:val="24"/>
          <w:szCs w:val="24"/>
        </w:rPr>
        <w:t xml:space="preserve">утністю </w:t>
      </w:r>
      <w:r w:rsidRPr="001977C8">
        <w:rPr>
          <w:sz w:val="24"/>
          <w:szCs w:val="24"/>
        </w:rPr>
        <w:t xml:space="preserve"> методики виз</w:t>
      </w:r>
      <w:r w:rsidR="00415F60" w:rsidRPr="001977C8">
        <w:rPr>
          <w:sz w:val="24"/>
          <w:szCs w:val="24"/>
        </w:rPr>
        <w:t>начення вартості платних послуг</w:t>
      </w:r>
      <w:r w:rsidRPr="001977C8">
        <w:rPr>
          <w:sz w:val="24"/>
          <w:szCs w:val="24"/>
        </w:rPr>
        <w:t>,</w:t>
      </w:r>
      <w:r w:rsidR="00415F60" w:rsidRPr="001977C8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 xml:space="preserve">то базою для визначення </w:t>
      </w:r>
      <w:r w:rsidR="00C64D15" w:rsidRPr="001977C8">
        <w:rPr>
          <w:sz w:val="24"/>
          <w:szCs w:val="24"/>
        </w:rPr>
        <w:t>вартості 1-ї нормо - години</w:t>
      </w:r>
      <w:r w:rsidRPr="001977C8">
        <w:rPr>
          <w:sz w:val="24"/>
          <w:szCs w:val="24"/>
        </w:rPr>
        <w:t xml:space="preserve"> є розрахунок витрат, пов'язаних </w:t>
      </w:r>
      <w:r w:rsidR="00050E1A" w:rsidRPr="001977C8">
        <w:rPr>
          <w:sz w:val="24"/>
          <w:szCs w:val="24"/>
        </w:rPr>
        <w:t>з безпосереднім наданням цих послуг.</w:t>
      </w:r>
    </w:p>
    <w:p w:rsidR="00C64D15" w:rsidRPr="001977C8" w:rsidRDefault="00C64D15" w:rsidP="00C64D15">
      <w:pPr>
        <w:ind w:firstLine="709"/>
        <w:jc w:val="both"/>
        <w:rPr>
          <w:sz w:val="24"/>
          <w:szCs w:val="24"/>
          <w:lang w:eastAsia="uk-UA"/>
        </w:rPr>
      </w:pPr>
      <w:r w:rsidRPr="001977C8">
        <w:rPr>
          <w:bCs/>
          <w:sz w:val="24"/>
          <w:szCs w:val="24"/>
          <w:lang w:eastAsia="uk-UA"/>
        </w:rPr>
        <w:t>Запропонований спосіб відповідає принципу державної регуляторної політики, а саме: доцільність, адекватність, ефективність, збалансованість, передбачуваність, принципу прозорості та врахування громадської думки та пропозицій суб’єктів підприємницької діяльності.</w:t>
      </w:r>
      <w:r w:rsidRPr="001977C8">
        <w:rPr>
          <w:sz w:val="24"/>
          <w:szCs w:val="24"/>
          <w:lang w:eastAsia="uk-UA"/>
        </w:rPr>
        <w:t>    </w:t>
      </w:r>
    </w:p>
    <w:p w:rsidR="0065393F" w:rsidRPr="001977C8" w:rsidRDefault="0065393F" w:rsidP="0065393F">
      <w:pPr>
        <w:ind w:firstLine="284"/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Вказану проблему планується розв’язати за допомогою реалізації наступного механізму, який  передбачає виконання заходів:</w:t>
      </w:r>
    </w:p>
    <w:p w:rsidR="000016BB" w:rsidRPr="001977C8" w:rsidRDefault="000E2939" w:rsidP="005A33FE">
      <w:pPr>
        <w:jc w:val="both"/>
        <w:rPr>
          <w:sz w:val="24"/>
          <w:szCs w:val="24"/>
        </w:rPr>
      </w:pPr>
      <w:r>
        <w:rPr>
          <w:sz w:val="24"/>
          <w:szCs w:val="24"/>
        </w:rPr>
        <w:t>1. Оприлюднення проє</w:t>
      </w:r>
      <w:r w:rsidR="000016BB" w:rsidRPr="001977C8">
        <w:rPr>
          <w:sz w:val="24"/>
          <w:szCs w:val="24"/>
        </w:rPr>
        <w:t>кту регуляторного акту "Про встановлення вартості 1-ї  нормо-години</w:t>
      </w:r>
    </w:p>
    <w:p w:rsidR="000016BB" w:rsidRPr="001977C8" w:rsidRDefault="000016BB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на роботи та послуги, що надаються ЗМКП  "Бюро технічної  інвентар</w:t>
      </w:r>
      <w:r w:rsidR="005A33FE">
        <w:rPr>
          <w:sz w:val="24"/>
          <w:szCs w:val="24"/>
        </w:rPr>
        <w:t>и</w:t>
      </w:r>
      <w:r w:rsidRPr="001977C8">
        <w:rPr>
          <w:sz w:val="24"/>
          <w:szCs w:val="24"/>
        </w:rPr>
        <w:t>зації"</w:t>
      </w:r>
      <w:r w:rsidR="00EB5351" w:rsidRPr="001977C8">
        <w:rPr>
          <w:sz w:val="24"/>
          <w:szCs w:val="24"/>
        </w:rPr>
        <w:t xml:space="preserve"> з метою обговорення питання щодо встановлення нового тарифу.</w:t>
      </w:r>
    </w:p>
    <w:p w:rsidR="000016BB" w:rsidRPr="001977C8" w:rsidRDefault="00EB5351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2. </w:t>
      </w:r>
      <w:r w:rsidR="000D4F6A" w:rsidRPr="001977C8">
        <w:rPr>
          <w:sz w:val="24"/>
          <w:szCs w:val="24"/>
        </w:rPr>
        <w:t xml:space="preserve"> На підставі ст.28 Закону України "Про місцеве самоврядування в Україні" п</w:t>
      </w:r>
      <w:r w:rsidRPr="001977C8">
        <w:rPr>
          <w:sz w:val="24"/>
          <w:szCs w:val="24"/>
        </w:rPr>
        <w:t>рийняття</w:t>
      </w:r>
      <w:r w:rsidR="000D4F6A" w:rsidRPr="001977C8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 xml:space="preserve"> виконавчим</w:t>
      </w:r>
      <w:r w:rsidR="000016BB" w:rsidRPr="001977C8">
        <w:rPr>
          <w:sz w:val="24"/>
          <w:szCs w:val="24"/>
        </w:rPr>
        <w:t xml:space="preserve"> комітет</w:t>
      </w:r>
      <w:r w:rsidR="005A33FE">
        <w:rPr>
          <w:sz w:val="24"/>
          <w:szCs w:val="24"/>
        </w:rPr>
        <w:t>ом</w:t>
      </w:r>
      <w:r w:rsidRPr="001977C8">
        <w:rPr>
          <w:sz w:val="24"/>
          <w:szCs w:val="24"/>
        </w:rPr>
        <w:t xml:space="preserve"> рішення щодо встановлення вартості 1-ї  нормо-години</w:t>
      </w:r>
      <w:r w:rsidR="005A33FE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>на роботи та послуги, що надаються ЗМКП  "Бюро технічної  інвентаризації</w:t>
      </w:r>
      <w:r w:rsidR="000016BB" w:rsidRPr="001977C8">
        <w:rPr>
          <w:sz w:val="24"/>
          <w:szCs w:val="24"/>
        </w:rPr>
        <w:t>, враховуючи</w:t>
      </w:r>
      <w:r w:rsidR="000D4F6A" w:rsidRPr="001977C8">
        <w:rPr>
          <w:sz w:val="24"/>
          <w:szCs w:val="24"/>
        </w:rPr>
        <w:t xml:space="preserve">  результати  обговорення</w:t>
      </w:r>
      <w:r w:rsidR="000016BB" w:rsidRPr="001977C8">
        <w:rPr>
          <w:sz w:val="24"/>
          <w:szCs w:val="24"/>
        </w:rPr>
        <w:t>.</w:t>
      </w:r>
    </w:p>
    <w:p w:rsidR="000016BB" w:rsidRPr="001977C8" w:rsidRDefault="000D4F6A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3. Оприлюднення</w:t>
      </w:r>
      <w:r w:rsidR="00372101" w:rsidRPr="001977C8">
        <w:rPr>
          <w:sz w:val="24"/>
          <w:szCs w:val="24"/>
        </w:rPr>
        <w:t xml:space="preserve">  прийнятого  рішення</w:t>
      </w:r>
      <w:r w:rsidR="000016BB" w:rsidRPr="001977C8">
        <w:rPr>
          <w:sz w:val="24"/>
          <w:szCs w:val="24"/>
        </w:rPr>
        <w:t>.</w:t>
      </w:r>
    </w:p>
    <w:p w:rsidR="008F7274" w:rsidRPr="00284BA6" w:rsidRDefault="008F7274" w:rsidP="00827064">
      <w:pPr>
        <w:jc w:val="both"/>
        <w:rPr>
          <w:b/>
          <w:color w:val="00B050"/>
          <w:sz w:val="24"/>
          <w:szCs w:val="24"/>
        </w:rPr>
      </w:pPr>
    </w:p>
    <w:p w:rsidR="00F5734D" w:rsidRPr="001977C8" w:rsidRDefault="00F5734D" w:rsidP="008B01C2">
      <w:pPr>
        <w:shd w:val="clear" w:color="auto" w:fill="FFFFFF"/>
        <w:ind w:firstLine="720"/>
        <w:jc w:val="center"/>
        <w:rPr>
          <w:b/>
          <w:bCs/>
          <w:color w:val="000000"/>
          <w:sz w:val="24"/>
          <w:szCs w:val="24"/>
        </w:rPr>
      </w:pPr>
      <w:r w:rsidRPr="001977C8">
        <w:rPr>
          <w:b/>
          <w:sz w:val="24"/>
          <w:szCs w:val="24"/>
        </w:rPr>
        <w:t>VI.</w:t>
      </w:r>
      <w:r w:rsidRPr="001977C8">
        <w:rPr>
          <w:rFonts w:ascii="Verdana" w:hAnsi="Verdana"/>
          <w:b/>
          <w:bCs/>
          <w:color w:val="000000"/>
          <w:sz w:val="16"/>
          <w:szCs w:val="16"/>
        </w:rPr>
        <w:t xml:space="preserve"> </w:t>
      </w:r>
      <w:r w:rsidRPr="001977C8">
        <w:rPr>
          <w:b/>
          <w:bCs/>
          <w:color w:val="000000"/>
          <w:sz w:val="24"/>
          <w:szCs w:val="24"/>
        </w:rPr>
        <w:t>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7A0439" w:rsidRPr="001977C8" w:rsidRDefault="007A0439" w:rsidP="008B01C2">
      <w:pPr>
        <w:shd w:val="clear" w:color="auto" w:fill="FFFFFF"/>
        <w:ind w:firstLine="720"/>
        <w:jc w:val="center"/>
        <w:rPr>
          <w:b/>
          <w:bCs/>
          <w:color w:val="000000"/>
          <w:sz w:val="24"/>
          <w:szCs w:val="24"/>
        </w:rPr>
      </w:pPr>
    </w:p>
    <w:p w:rsidR="004607E0" w:rsidRPr="001977C8" w:rsidRDefault="002837C0" w:rsidP="006E75C7">
      <w:pPr>
        <w:ind w:firstLine="426"/>
        <w:rPr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>Вра</w:t>
      </w:r>
      <w:r w:rsidR="002E02B5" w:rsidRPr="001977C8">
        <w:rPr>
          <w:bCs/>
          <w:color w:val="000000"/>
          <w:sz w:val="24"/>
          <w:szCs w:val="24"/>
        </w:rPr>
        <w:t>ховую</w:t>
      </w:r>
      <w:r w:rsidR="006E75C7" w:rsidRPr="001977C8">
        <w:rPr>
          <w:bCs/>
          <w:color w:val="000000"/>
          <w:sz w:val="24"/>
          <w:szCs w:val="24"/>
        </w:rPr>
        <w:t>чи, що встановлення тарифу</w:t>
      </w:r>
      <w:r w:rsidR="002E02B5" w:rsidRPr="001977C8">
        <w:rPr>
          <w:bCs/>
          <w:color w:val="000000"/>
          <w:sz w:val="24"/>
          <w:szCs w:val="24"/>
        </w:rPr>
        <w:t xml:space="preserve"> здійснюється шляхом публічного обговорення, то вартість</w:t>
      </w:r>
      <w:r w:rsidR="006E75C7" w:rsidRPr="001977C8">
        <w:rPr>
          <w:sz w:val="24"/>
          <w:szCs w:val="24"/>
        </w:rPr>
        <w:t xml:space="preserve"> 1-ї  нормо-години на роботи та послуги</w:t>
      </w:r>
      <w:r w:rsidR="006E75C7" w:rsidRPr="001977C8">
        <w:rPr>
          <w:bCs/>
          <w:color w:val="000000"/>
          <w:sz w:val="24"/>
          <w:szCs w:val="24"/>
        </w:rPr>
        <w:t xml:space="preserve"> </w:t>
      </w:r>
      <w:r w:rsidR="00701005" w:rsidRPr="001977C8">
        <w:rPr>
          <w:bCs/>
          <w:color w:val="000000"/>
          <w:sz w:val="24"/>
          <w:szCs w:val="24"/>
        </w:rPr>
        <w:t xml:space="preserve">з технічної інвентаризації нерухомого майна </w:t>
      </w:r>
      <w:r w:rsidR="002E02B5" w:rsidRPr="001977C8">
        <w:rPr>
          <w:bCs/>
          <w:color w:val="000000"/>
          <w:sz w:val="24"/>
          <w:szCs w:val="24"/>
        </w:rPr>
        <w:t>встановлюватиметься  з урахуванням інтересів усіх зацікавлених сторін.</w:t>
      </w:r>
    </w:p>
    <w:p w:rsidR="00104BD1" w:rsidRPr="001977C8" w:rsidRDefault="00104BD1" w:rsidP="0000680C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lastRenderedPageBreak/>
        <w:t xml:space="preserve">На дію регуляторного акта можуть вплинути такі економічні зовнішні фактори як: підвищення тарифів на комунальні послуги, </w:t>
      </w:r>
      <w:r w:rsidR="00A43B9A" w:rsidRPr="001977C8">
        <w:rPr>
          <w:bCs/>
          <w:color w:val="000000"/>
          <w:sz w:val="24"/>
          <w:szCs w:val="24"/>
        </w:rPr>
        <w:t>р</w:t>
      </w:r>
      <w:r w:rsidRPr="001977C8">
        <w:rPr>
          <w:bCs/>
          <w:color w:val="000000"/>
          <w:sz w:val="24"/>
          <w:szCs w:val="24"/>
        </w:rPr>
        <w:t>озміру мінімальної заробітної плати</w:t>
      </w:r>
      <w:r w:rsidR="00701005" w:rsidRPr="001977C8">
        <w:rPr>
          <w:bCs/>
          <w:color w:val="000000"/>
          <w:sz w:val="24"/>
          <w:szCs w:val="24"/>
        </w:rPr>
        <w:t xml:space="preserve"> тощо, при яких тариф на послуги</w:t>
      </w:r>
      <w:r w:rsidR="00A43B9A" w:rsidRPr="001977C8">
        <w:rPr>
          <w:bCs/>
          <w:color w:val="000000"/>
          <w:sz w:val="24"/>
          <w:szCs w:val="24"/>
        </w:rPr>
        <w:t xml:space="preserve"> буде переглянутий.</w:t>
      </w:r>
    </w:p>
    <w:p w:rsidR="00A43B9A" w:rsidRPr="001977C8" w:rsidRDefault="00A43B9A" w:rsidP="0000680C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 xml:space="preserve">У разі прийняття регуляторного акту встановлена вартість </w:t>
      </w:r>
      <w:r w:rsidR="00701005" w:rsidRPr="001977C8">
        <w:rPr>
          <w:sz w:val="24"/>
          <w:szCs w:val="24"/>
        </w:rPr>
        <w:t xml:space="preserve">1-ї  нормо-години на </w:t>
      </w:r>
      <w:r w:rsidRPr="001977C8">
        <w:rPr>
          <w:bCs/>
          <w:color w:val="000000"/>
          <w:sz w:val="24"/>
          <w:szCs w:val="24"/>
        </w:rPr>
        <w:t xml:space="preserve"> послуг</w:t>
      </w:r>
      <w:r w:rsidR="00701005" w:rsidRPr="001977C8">
        <w:rPr>
          <w:bCs/>
          <w:color w:val="000000"/>
          <w:sz w:val="24"/>
          <w:szCs w:val="24"/>
        </w:rPr>
        <w:t>и</w:t>
      </w:r>
      <w:r w:rsidRPr="001977C8">
        <w:rPr>
          <w:bCs/>
          <w:color w:val="000000"/>
          <w:sz w:val="24"/>
          <w:szCs w:val="24"/>
        </w:rPr>
        <w:t xml:space="preserve"> забезпечить </w:t>
      </w:r>
      <w:r w:rsidR="00701005" w:rsidRPr="001977C8">
        <w:rPr>
          <w:bCs/>
          <w:color w:val="000000"/>
          <w:sz w:val="24"/>
          <w:szCs w:val="24"/>
        </w:rPr>
        <w:t>підприємству</w:t>
      </w:r>
      <w:r w:rsidRPr="001977C8">
        <w:rPr>
          <w:bCs/>
          <w:color w:val="000000"/>
          <w:sz w:val="24"/>
          <w:szCs w:val="24"/>
        </w:rPr>
        <w:t xml:space="preserve"> беззбиткову роботу та</w:t>
      </w:r>
      <w:r w:rsidR="00701005" w:rsidRPr="001977C8">
        <w:rPr>
          <w:bCs/>
          <w:color w:val="000000"/>
          <w:sz w:val="24"/>
          <w:szCs w:val="24"/>
        </w:rPr>
        <w:t xml:space="preserve"> можливість поліпшити його матеріально-технічну базу</w:t>
      </w:r>
      <w:r w:rsidRPr="001977C8">
        <w:rPr>
          <w:bCs/>
          <w:color w:val="000000"/>
          <w:sz w:val="24"/>
          <w:szCs w:val="24"/>
        </w:rPr>
        <w:t>.</w:t>
      </w:r>
    </w:p>
    <w:p w:rsidR="007E0317" w:rsidRPr="001977C8" w:rsidRDefault="00A43B9A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 xml:space="preserve">Виконання вимог </w:t>
      </w:r>
      <w:r w:rsidR="00CC3C1A" w:rsidRPr="001977C8">
        <w:rPr>
          <w:bCs/>
          <w:color w:val="000000"/>
          <w:sz w:val="24"/>
          <w:szCs w:val="24"/>
        </w:rPr>
        <w:t>даного рішення не потребує додаткових витрат з місцевого бюджету.</w:t>
      </w:r>
    </w:p>
    <w:p w:rsidR="009369E2" w:rsidRPr="001977C8" w:rsidRDefault="009369E2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>Зазначене</w:t>
      </w:r>
      <w:r w:rsidR="007E0317" w:rsidRPr="001977C8">
        <w:rPr>
          <w:bCs/>
          <w:color w:val="000000"/>
          <w:sz w:val="24"/>
          <w:szCs w:val="24"/>
        </w:rPr>
        <w:t xml:space="preserve"> регулювання стосуються </w:t>
      </w:r>
      <w:r w:rsidRPr="001977C8">
        <w:rPr>
          <w:bCs/>
          <w:color w:val="000000"/>
          <w:sz w:val="24"/>
          <w:szCs w:val="24"/>
        </w:rPr>
        <w:t xml:space="preserve"> суб’єктів малого </w:t>
      </w:r>
      <w:r w:rsidR="007E0317" w:rsidRPr="001977C8">
        <w:rPr>
          <w:bCs/>
          <w:color w:val="000000"/>
          <w:sz w:val="24"/>
          <w:szCs w:val="24"/>
        </w:rPr>
        <w:t xml:space="preserve">та </w:t>
      </w:r>
      <w:proofErr w:type="spellStart"/>
      <w:r w:rsidR="007E0317" w:rsidRPr="001977C8">
        <w:rPr>
          <w:bCs/>
          <w:color w:val="000000"/>
          <w:sz w:val="24"/>
          <w:szCs w:val="24"/>
        </w:rPr>
        <w:t>мікро</w:t>
      </w:r>
      <w:proofErr w:type="spellEnd"/>
      <w:r w:rsidR="007E0317" w:rsidRPr="001977C8">
        <w:rPr>
          <w:bCs/>
          <w:color w:val="000000"/>
          <w:sz w:val="24"/>
          <w:szCs w:val="24"/>
        </w:rPr>
        <w:t xml:space="preserve"> </w:t>
      </w:r>
      <w:r w:rsidRPr="001977C8">
        <w:rPr>
          <w:bCs/>
          <w:color w:val="000000"/>
          <w:sz w:val="24"/>
          <w:szCs w:val="24"/>
        </w:rPr>
        <w:t>підприємництва, тому здійснено розрахунок витрат на запровадження державного регулювання для суб’єктів малого підприємництва - Тест малого підприємництва.</w:t>
      </w:r>
    </w:p>
    <w:p w:rsidR="009369E2" w:rsidRPr="001977C8" w:rsidRDefault="009369E2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173AE7" w:rsidRPr="001977C8" w:rsidRDefault="00173AE7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8"/>
          <w:szCs w:val="28"/>
          <w:bdr w:val="none" w:sz="0" w:space="0" w:color="auto" w:frame="1"/>
        </w:rPr>
        <w:t>ТЕСТ </w:t>
      </w:r>
    </w:p>
    <w:p w:rsidR="00173AE7" w:rsidRPr="001977C8" w:rsidRDefault="00173AE7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8"/>
          <w:szCs w:val="28"/>
          <w:bdr w:val="none" w:sz="0" w:space="0" w:color="auto" w:frame="1"/>
        </w:rPr>
        <w:t>малого підприємництва (М-Тест)</w:t>
      </w:r>
    </w:p>
    <w:p w:rsidR="008F7274" w:rsidRPr="001977C8" w:rsidRDefault="008F7274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7274" w:rsidRPr="001977C8" w:rsidRDefault="008F7274" w:rsidP="00372101">
      <w:pPr>
        <w:numPr>
          <w:ilvl w:val="0"/>
          <w:numId w:val="1"/>
        </w:numPr>
        <w:ind w:left="0" w:right="450"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4"/>
          <w:szCs w:val="24"/>
          <w:lang w:eastAsia="uk-UA"/>
        </w:rPr>
        <w:t xml:space="preserve">Консультації з представниками </w:t>
      </w:r>
      <w:proofErr w:type="spellStart"/>
      <w:r w:rsidRPr="001977C8">
        <w:rPr>
          <w:b/>
          <w:bCs/>
          <w:color w:val="000000"/>
          <w:sz w:val="24"/>
          <w:szCs w:val="24"/>
          <w:lang w:eastAsia="uk-UA"/>
        </w:rPr>
        <w:t>мікро-</w:t>
      </w:r>
      <w:proofErr w:type="spellEnd"/>
      <w:r w:rsidRPr="001977C8">
        <w:rPr>
          <w:b/>
          <w:bCs/>
          <w:color w:val="000000"/>
          <w:sz w:val="24"/>
          <w:szCs w:val="24"/>
          <w:lang w:eastAsia="uk-UA"/>
        </w:rPr>
        <w:t xml:space="preserve"> та малого підприємництва щодо оцінки впливу регулювання</w:t>
      </w:r>
    </w:p>
    <w:p w:rsidR="008F7274" w:rsidRPr="001977C8" w:rsidRDefault="008F7274" w:rsidP="008F7274">
      <w:pPr>
        <w:ind w:right="450"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color w:val="000000"/>
          <w:sz w:val="24"/>
          <w:szCs w:val="24"/>
          <w:lang w:eastAsia="uk-UA"/>
        </w:rPr>
        <w:t xml:space="preserve"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</w:t>
      </w:r>
      <w:r w:rsidRPr="002C2089">
        <w:rPr>
          <w:sz w:val="24"/>
          <w:szCs w:val="24"/>
          <w:lang w:eastAsia="uk-UA"/>
        </w:rPr>
        <w:t>з </w:t>
      </w:r>
      <w:r w:rsidR="00F74061" w:rsidRPr="002C2089">
        <w:rPr>
          <w:sz w:val="24"/>
          <w:szCs w:val="24"/>
          <w:lang w:val="ru-RU" w:eastAsia="uk-UA"/>
        </w:rPr>
        <w:t>14</w:t>
      </w:r>
      <w:r w:rsidR="002A3A9B" w:rsidRPr="002C2089">
        <w:rPr>
          <w:sz w:val="24"/>
          <w:szCs w:val="24"/>
          <w:lang w:eastAsia="uk-UA"/>
        </w:rPr>
        <w:t>.01.2021</w:t>
      </w:r>
      <w:r w:rsidR="00F74061" w:rsidRPr="002C2089">
        <w:rPr>
          <w:sz w:val="24"/>
          <w:szCs w:val="24"/>
          <w:lang w:eastAsia="uk-UA"/>
        </w:rPr>
        <w:t xml:space="preserve"> р. по 20</w:t>
      </w:r>
      <w:r w:rsidRPr="002C2089">
        <w:rPr>
          <w:sz w:val="24"/>
          <w:szCs w:val="24"/>
          <w:lang w:eastAsia="uk-UA"/>
        </w:rPr>
        <w:t>.</w:t>
      </w:r>
      <w:r w:rsidR="002A3A9B" w:rsidRPr="002C2089">
        <w:rPr>
          <w:sz w:val="24"/>
          <w:szCs w:val="24"/>
          <w:lang w:eastAsia="uk-UA"/>
        </w:rPr>
        <w:t>01.2021</w:t>
      </w:r>
      <w:r w:rsidRPr="002C2089">
        <w:rPr>
          <w:sz w:val="24"/>
          <w:szCs w:val="24"/>
          <w:lang w:eastAsia="uk-UA"/>
        </w:rPr>
        <w:t xml:space="preserve"> р.</w:t>
      </w:r>
    </w:p>
    <w:p w:rsidR="00173AE7" w:rsidRPr="001977C8" w:rsidRDefault="00173AE7" w:rsidP="00827064">
      <w:pPr>
        <w:ind w:left="450" w:right="450"/>
        <w:jc w:val="center"/>
        <w:textAlignment w:val="baseline"/>
        <w:rPr>
          <w:bCs/>
          <w:color w:val="000000"/>
          <w:bdr w:val="none" w:sz="0" w:space="0" w:color="auto" w:frame="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12"/>
        <w:gridCol w:w="1701"/>
        <w:gridCol w:w="4394"/>
      </w:tblGrid>
      <w:tr w:rsidR="007E7829" w:rsidRPr="001977C8" w:rsidTr="007E7829">
        <w:trPr>
          <w:trHeight w:val="1182"/>
        </w:trPr>
        <w:tc>
          <w:tcPr>
            <w:tcW w:w="540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№</w:t>
            </w:r>
          </w:p>
        </w:tc>
        <w:tc>
          <w:tcPr>
            <w:tcW w:w="3112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 xml:space="preserve">Вид консультації </w:t>
            </w:r>
            <w:r w:rsidR="000D4D51" w:rsidRPr="001977C8">
              <w:rPr>
                <w:b/>
                <w:bCs/>
                <w:lang w:eastAsia="uk-UA"/>
              </w:rPr>
              <w:t xml:space="preserve">(публічні консультації прямі (круглі столи, наради, робочі зустрічі тощо), </w:t>
            </w:r>
            <w:proofErr w:type="spellStart"/>
            <w:r w:rsidR="000D4D51" w:rsidRPr="001977C8">
              <w:rPr>
                <w:b/>
                <w:bCs/>
                <w:lang w:eastAsia="uk-UA"/>
              </w:rPr>
              <w:t>інтернет</w:t>
            </w:r>
            <w:proofErr w:type="spellEnd"/>
            <w:r w:rsidR="000D4D51" w:rsidRPr="001977C8">
              <w:rPr>
                <w:b/>
                <w:bCs/>
                <w:lang w:eastAsia="uk-UA"/>
              </w:rPr>
              <w:t xml:space="preserve"> - консультації прямі (</w:t>
            </w:r>
            <w:proofErr w:type="spellStart"/>
            <w:r w:rsidR="000D4D51" w:rsidRPr="001977C8">
              <w:rPr>
                <w:b/>
                <w:bCs/>
                <w:lang w:eastAsia="uk-UA"/>
              </w:rPr>
              <w:t>інтернет</w:t>
            </w:r>
            <w:proofErr w:type="spellEnd"/>
            <w:r w:rsidR="000D4D51" w:rsidRPr="001977C8">
              <w:rPr>
                <w:b/>
                <w:bCs/>
                <w:lang w:eastAsia="uk-UA"/>
              </w:rPr>
              <w:t xml:space="preserve"> - форуми, соціальні мережі тощо), запити (до підприємців, експертів, науковців тощо)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Кількість учасників консультацій, осіб</w:t>
            </w:r>
          </w:p>
        </w:tc>
        <w:tc>
          <w:tcPr>
            <w:tcW w:w="4394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Основні результати консультацій (опис)</w:t>
            </w:r>
          </w:p>
        </w:tc>
      </w:tr>
      <w:tr w:rsidR="00173AE7" w:rsidRPr="001977C8" w:rsidTr="007E7829">
        <w:trPr>
          <w:trHeight w:val="630"/>
        </w:trPr>
        <w:tc>
          <w:tcPr>
            <w:tcW w:w="540" w:type="dxa"/>
            <w:shd w:val="clear" w:color="auto" w:fill="auto"/>
            <w:noWrap/>
          </w:tcPr>
          <w:p w:rsidR="00173AE7" w:rsidRPr="001977C8" w:rsidRDefault="00173AE7" w:rsidP="0082706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73AE7" w:rsidRPr="001977C8" w:rsidRDefault="009C5686" w:rsidP="00827064">
            <w:pPr>
              <w:jc w:val="both"/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Т</w:t>
            </w:r>
            <w:r w:rsidR="00AA534F" w:rsidRPr="001977C8">
              <w:rPr>
                <w:rFonts w:eastAsia="Calibri"/>
                <w:color w:val="000000"/>
                <w:lang w:eastAsia="uk-UA"/>
              </w:rPr>
              <w:t xml:space="preserve">елефонні запити до </w:t>
            </w:r>
            <w:r w:rsidR="00173AE7" w:rsidRPr="001977C8">
              <w:rPr>
                <w:rFonts w:eastAsia="Calibri"/>
                <w:lang w:eastAsia="uk-UA"/>
              </w:rPr>
              <w:t>суб’єктів малого підприємництва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2C506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7E7829" w:rsidRPr="001977C8" w:rsidRDefault="00E37EBB" w:rsidP="007E7829">
            <w:pPr>
              <w:jc w:val="both"/>
              <w:rPr>
                <w:rFonts w:eastAsia="Calibri"/>
                <w:color w:val="00B050"/>
              </w:rPr>
            </w:pPr>
            <w:r w:rsidRPr="001977C8">
              <w:rPr>
                <w:rFonts w:eastAsia="Calibri"/>
              </w:rPr>
              <w:t>Уточнення інформації щодо витрат суб'єктів господарювання на виконання вимог регулювання</w:t>
            </w:r>
          </w:p>
        </w:tc>
      </w:tr>
    </w:tbl>
    <w:p w:rsidR="00173AE7" w:rsidRPr="001977C8" w:rsidRDefault="00173AE7" w:rsidP="00827064">
      <w:pPr>
        <w:rPr>
          <w:rFonts w:eastAsia="Calibri"/>
          <w:sz w:val="24"/>
          <w:szCs w:val="24"/>
          <w:lang w:eastAsia="en-US"/>
        </w:rPr>
      </w:pPr>
    </w:p>
    <w:p w:rsidR="008B1FDA" w:rsidRPr="001977C8" w:rsidRDefault="00FC1711" w:rsidP="00372101">
      <w:pPr>
        <w:numPr>
          <w:ilvl w:val="0"/>
          <w:numId w:val="1"/>
        </w:numPr>
        <w:tabs>
          <w:tab w:val="left" w:pos="0"/>
          <w:tab w:val="left" w:pos="142"/>
        </w:tabs>
        <w:ind w:left="0" w:firstLine="567"/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/>
          <w:bCs/>
          <w:color w:val="000000"/>
          <w:sz w:val="24"/>
          <w:szCs w:val="24"/>
          <w:lang w:eastAsia="uk-UA"/>
        </w:rPr>
        <w:t>В</w:t>
      </w:r>
      <w:r w:rsidR="00173AE7" w:rsidRPr="001977C8">
        <w:rPr>
          <w:b/>
          <w:bCs/>
          <w:color w:val="000000"/>
          <w:sz w:val="24"/>
          <w:szCs w:val="24"/>
          <w:lang w:eastAsia="uk-UA"/>
        </w:rPr>
        <w:t>имірювання впливу регулювання на суб’єктів малого підприємництва (</w:t>
      </w:r>
      <w:proofErr w:type="spellStart"/>
      <w:r w:rsidR="00173AE7" w:rsidRPr="001977C8">
        <w:rPr>
          <w:b/>
          <w:bCs/>
          <w:color w:val="000000"/>
          <w:sz w:val="24"/>
          <w:szCs w:val="24"/>
          <w:lang w:eastAsia="uk-UA"/>
        </w:rPr>
        <w:t>мікро-</w:t>
      </w:r>
      <w:proofErr w:type="spellEnd"/>
      <w:r w:rsidR="00173AE7" w:rsidRPr="001977C8">
        <w:rPr>
          <w:b/>
          <w:bCs/>
          <w:color w:val="000000"/>
          <w:sz w:val="24"/>
          <w:szCs w:val="24"/>
          <w:lang w:eastAsia="uk-UA"/>
        </w:rPr>
        <w:t xml:space="preserve"> та малі)</w:t>
      </w:r>
      <w:r w:rsidRPr="001977C8">
        <w:rPr>
          <w:b/>
          <w:bCs/>
          <w:color w:val="000000"/>
          <w:sz w:val="24"/>
          <w:szCs w:val="24"/>
          <w:lang w:eastAsia="uk-UA"/>
        </w:rPr>
        <w:t>:</w:t>
      </w:r>
    </w:p>
    <w:p w:rsidR="008B1FDA" w:rsidRPr="001977C8" w:rsidRDefault="008B1FDA" w:rsidP="008B1FDA">
      <w:pPr>
        <w:numPr>
          <w:ilvl w:val="0"/>
          <w:numId w:val="2"/>
        </w:numPr>
        <w:tabs>
          <w:tab w:val="left" w:pos="0"/>
          <w:tab w:val="left" w:pos="142"/>
        </w:tabs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Cs/>
          <w:color w:val="000000"/>
          <w:sz w:val="24"/>
          <w:szCs w:val="24"/>
          <w:lang w:eastAsia="uk-UA"/>
        </w:rPr>
        <w:t>к</w:t>
      </w:r>
      <w:r w:rsidR="00FC1711" w:rsidRPr="001977C8">
        <w:rPr>
          <w:bCs/>
          <w:color w:val="000000"/>
          <w:sz w:val="24"/>
          <w:szCs w:val="24"/>
          <w:lang w:eastAsia="uk-UA"/>
        </w:rPr>
        <w:t>ількість суб’єктів малого підприємництва, на</w:t>
      </w:r>
      <w:r w:rsidR="007E46D3" w:rsidRPr="001977C8">
        <w:rPr>
          <w:bCs/>
          <w:color w:val="000000"/>
          <w:sz w:val="24"/>
          <w:szCs w:val="24"/>
          <w:lang w:eastAsia="uk-UA"/>
        </w:rPr>
        <w:t xml:space="preserve"> яких поширюється регулювання: </w:t>
      </w:r>
      <w:r w:rsidR="00F74061">
        <w:rPr>
          <w:bCs/>
          <w:color w:val="000000"/>
          <w:sz w:val="24"/>
          <w:szCs w:val="24"/>
          <w:lang w:eastAsia="uk-UA"/>
        </w:rPr>
        <w:t>6</w:t>
      </w:r>
      <w:r w:rsidR="007E46D3" w:rsidRPr="001977C8">
        <w:rPr>
          <w:bCs/>
          <w:color w:val="000000"/>
          <w:sz w:val="24"/>
          <w:szCs w:val="24"/>
          <w:lang w:eastAsia="uk-UA"/>
        </w:rPr>
        <w:t xml:space="preserve"> одиниць</w:t>
      </w:r>
      <w:r w:rsidR="00FC1711" w:rsidRPr="001977C8">
        <w:rPr>
          <w:bCs/>
          <w:color w:val="000000"/>
          <w:sz w:val="24"/>
          <w:szCs w:val="24"/>
          <w:lang w:eastAsia="uk-UA"/>
        </w:rPr>
        <w:t>;</w:t>
      </w:r>
    </w:p>
    <w:p w:rsidR="00173AE7" w:rsidRPr="001977C8" w:rsidRDefault="00FC1711" w:rsidP="008B1FDA">
      <w:pPr>
        <w:numPr>
          <w:ilvl w:val="0"/>
          <w:numId w:val="2"/>
        </w:numPr>
        <w:tabs>
          <w:tab w:val="left" w:pos="0"/>
          <w:tab w:val="left" w:pos="142"/>
        </w:tabs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Cs/>
          <w:color w:val="000000"/>
          <w:sz w:val="24"/>
          <w:szCs w:val="24"/>
          <w:lang w:eastAsia="uk-UA"/>
        </w:rPr>
        <w:t>питома вага суб’єктів малого підприємництва у загальній кількості суб’єктів господарювання, на я</w:t>
      </w:r>
      <w:r w:rsidR="007E46D3" w:rsidRPr="001977C8">
        <w:rPr>
          <w:bCs/>
          <w:color w:val="000000"/>
          <w:sz w:val="24"/>
          <w:szCs w:val="24"/>
          <w:lang w:eastAsia="uk-UA"/>
        </w:rPr>
        <w:t>ких проблема справляє вплив 100</w:t>
      </w:r>
      <w:r w:rsidRPr="001977C8">
        <w:rPr>
          <w:bCs/>
          <w:color w:val="000000"/>
          <w:sz w:val="24"/>
          <w:szCs w:val="24"/>
          <w:lang w:eastAsia="uk-UA"/>
        </w:rPr>
        <w:t xml:space="preserve"> %.</w:t>
      </w:r>
    </w:p>
    <w:p w:rsidR="006B2439" w:rsidRPr="001977C8" w:rsidRDefault="006B2439" w:rsidP="006B2439">
      <w:pPr>
        <w:tabs>
          <w:tab w:val="left" w:pos="9639"/>
        </w:tabs>
        <w:ind w:firstLine="567"/>
        <w:contextualSpacing/>
        <w:jc w:val="both"/>
        <w:rPr>
          <w:bCs/>
          <w:color w:val="000000"/>
          <w:sz w:val="24"/>
          <w:szCs w:val="24"/>
          <w:lang w:eastAsia="uk-UA"/>
        </w:rPr>
      </w:pPr>
    </w:p>
    <w:p w:rsidR="00173AE7" w:rsidRPr="00493894" w:rsidRDefault="00173AE7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493894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Розрахунок витрат суб’єктів малого підприємництва на виконання вимог регулювання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3943"/>
        <w:gridCol w:w="1701"/>
        <w:gridCol w:w="1843"/>
        <w:gridCol w:w="1134"/>
      </w:tblGrid>
      <w:tr w:rsidR="00916583" w:rsidRPr="00493894" w:rsidTr="00916583">
        <w:trPr>
          <w:trHeight w:val="1051"/>
        </w:trPr>
        <w:tc>
          <w:tcPr>
            <w:tcW w:w="560" w:type="dxa"/>
            <w:shd w:val="clear" w:color="auto" w:fill="auto"/>
          </w:tcPr>
          <w:p w:rsidR="00916583" w:rsidRPr="00493894" w:rsidRDefault="00916583" w:rsidP="00827064">
            <w:pPr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Найменування оцінки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У перший рік (стартовий рік впровадження регулювання)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Періодичні (за наступний рік)</w:t>
            </w:r>
          </w:p>
        </w:tc>
        <w:tc>
          <w:tcPr>
            <w:tcW w:w="1134" w:type="dxa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Витрати за п’ять років</w:t>
            </w:r>
          </w:p>
        </w:tc>
      </w:tr>
      <w:tr w:rsidR="00916583" w:rsidRPr="00493894" w:rsidTr="00916583">
        <w:trPr>
          <w:trHeight w:val="345"/>
        </w:trPr>
        <w:tc>
          <w:tcPr>
            <w:tcW w:w="9181" w:type="dxa"/>
            <w:gridSpan w:val="5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Оцінка “прямих” витрат суб’єктів малого підприємництва на виконання регулювання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1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2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ind w:left="3" w:hanging="3"/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lastRenderedPageBreak/>
              <w:t>3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експлуатації обладнання (експлуатаційні витрати – витратні матеріали)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057286">
        <w:trPr>
          <w:trHeight w:val="616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4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обслуговування обладнання (технічне обслуговування)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916583" w:rsidRPr="00493894" w:rsidTr="00916583">
        <w:trPr>
          <w:trHeight w:val="299"/>
        </w:trPr>
        <w:tc>
          <w:tcPr>
            <w:tcW w:w="560" w:type="dxa"/>
            <w:shd w:val="clear" w:color="auto" w:fill="auto"/>
          </w:tcPr>
          <w:p w:rsidR="00916583" w:rsidRPr="00493894" w:rsidRDefault="00916583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5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 xml:space="preserve">Інші процедури </w:t>
            </w:r>
            <w:r w:rsidR="00057286" w:rsidRPr="00493894">
              <w:t xml:space="preserve"> (витрати на оплату послуг </w:t>
            </w:r>
            <w:r w:rsidR="00F5442C" w:rsidRPr="00493894">
              <w:t xml:space="preserve">комунального підприємства </w:t>
            </w:r>
            <w:r w:rsidR="00057286" w:rsidRPr="00493894">
              <w:t xml:space="preserve"> по суб'єктам господарювання, гривень</w:t>
            </w:r>
            <w:r w:rsidRPr="00493894">
              <w:rPr>
                <w:rFonts w:eastAsia="Calibri"/>
                <w:bCs/>
                <w:color w:val="000000"/>
                <w:lang w:eastAsia="uk-UA"/>
              </w:rPr>
              <w:t xml:space="preserve">): 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F7406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30593,00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11707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30593,00</w:t>
            </w:r>
          </w:p>
        </w:tc>
        <w:tc>
          <w:tcPr>
            <w:tcW w:w="1134" w:type="dxa"/>
          </w:tcPr>
          <w:p w:rsidR="00916583" w:rsidRPr="00493894" w:rsidRDefault="0011707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152965</w:t>
            </w:r>
            <w:r w:rsidR="00493894"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5.1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Витрати на придбання засобів, зокрема, обладнання необхідних для входження на ринок (одноразові витрати)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 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0 </w:t>
            </w:r>
          </w:p>
        </w:tc>
        <w:tc>
          <w:tcPr>
            <w:tcW w:w="1134" w:type="dxa"/>
          </w:tcPr>
          <w:p w:rsidR="00916583" w:rsidRPr="00493894" w:rsidRDefault="003D35B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916583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6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Разом, гривень Формула: (сума рядків 1 + 2 + 3 + 4 + 5)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11707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30593,00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493894" w:rsidRDefault="0011707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152965</w:t>
            </w:r>
            <w:r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7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916583" w:rsidRPr="00493894" w:rsidRDefault="00F7406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</w:t>
            </w:r>
          </w:p>
        </w:tc>
      </w:tr>
      <w:tr w:rsidR="00916583" w:rsidRPr="00493894" w:rsidTr="00916583">
        <w:trPr>
          <w:trHeight w:val="291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8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/>
                <w:bCs/>
                <w:color w:val="000000"/>
                <w:lang w:eastAsia="uk-UA"/>
              </w:rPr>
              <w:t>Сумарно, гривень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F7406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bdr w:val="none" w:sz="0" w:space="0" w:color="auto" w:frame="1"/>
              </w:rPr>
              <w:t>183558,00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493894" w:rsidRDefault="0011707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917790</w:t>
            </w:r>
            <w:r w:rsidR="00493894"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493894" w:rsidTr="00916583">
        <w:trPr>
          <w:trHeight w:val="491"/>
        </w:trPr>
        <w:tc>
          <w:tcPr>
            <w:tcW w:w="9181" w:type="dxa"/>
            <w:gridSpan w:val="5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3D35BD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493894" w:rsidRDefault="003D35BD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9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lang w:eastAsia="uk-UA"/>
              </w:rPr>
            </w:pPr>
            <w:r w:rsidRPr="00493894">
              <w:rPr>
                <w:rFonts w:eastAsia="Calibri"/>
                <w:bCs/>
                <w:lang w:eastAsia="uk-UA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10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911060">
              <w:rPr>
                <w:rFonts w:eastAsia="Calibri"/>
                <w:bCs/>
                <w:color w:val="000000"/>
                <w:lang w:eastAsia="uk-UA"/>
              </w:rPr>
              <w:t>Процедури організації виконання вимог регулювання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11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lang w:eastAsia="uk-UA"/>
              </w:rPr>
            </w:pPr>
            <w:r w:rsidRPr="00911060">
              <w:rPr>
                <w:rFonts w:eastAsia="Calibri"/>
                <w:bCs/>
                <w:lang w:eastAsia="uk-UA"/>
              </w:rPr>
              <w:t>Процедури офіційного звітування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12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911060">
              <w:rPr>
                <w:rFonts w:eastAsia="Calibri"/>
                <w:bCs/>
                <w:color w:val="000000"/>
                <w:lang w:eastAsia="uk-UA"/>
              </w:rPr>
              <w:t>Процедури щодо забезпечення процесу перевірок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5808DA" w:rsidRDefault="003D35BD" w:rsidP="00AD32F4">
            <w:pPr>
              <w:jc w:val="center"/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13</w:t>
            </w:r>
          </w:p>
        </w:tc>
        <w:tc>
          <w:tcPr>
            <w:tcW w:w="3943" w:type="dxa"/>
            <w:shd w:val="clear" w:color="auto" w:fill="auto"/>
          </w:tcPr>
          <w:p w:rsidR="003D35BD" w:rsidRPr="005808DA" w:rsidRDefault="003D35BD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Інші процедури (уточнити)</w:t>
            </w:r>
            <w:r w:rsidR="0006613B" w:rsidRPr="005808DA">
              <w:rPr>
                <w:rFonts w:eastAsia="Calibri"/>
                <w:bCs/>
                <w:color w:val="000000"/>
                <w:lang w:eastAsia="uk-UA"/>
              </w:rPr>
              <w:t>, год./грн.</w:t>
            </w:r>
            <w:r w:rsidRPr="005808DA">
              <w:rPr>
                <w:rFonts w:eastAsia="Calibri"/>
                <w:bCs/>
                <w:color w:val="000000"/>
                <w:lang w:eastAsia="uk-UA"/>
              </w:rPr>
              <w:t xml:space="preserve">:  </w:t>
            </w:r>
          </w:p>
          <w:p w:rsidR="0006613B" w:rsidRPr="005808DA" w:rsidRDefault="0006613B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відвідування БТІ</w:t>
            </w:r>
          </w:p>
        </w:tc>
        <w:tc>
          <w:tcPr>
            <w:tcW w:w="1701" w:type="dxa"/>
            <w:shd w:val="clear" w:color="auto" w:fill="auto"/>
          </w:tcPr>
          <w:p w:rsidR="003D35BD" w:rsidRPr="005808DA" w:rsidRDefault="00E61989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72,22</w:t>
            </w:r>
          </w:p>
          <w:p w:rsidR="004D3BA2" w:rsidRPr="005808DA" w:rsidRDefault="00E61989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(2год*36,11</w:t>
            </w:r>
            <w:r w:rsidR="004D3BA2" w:rsidRPr="005808DA">
              <w:rPr>
                <w:rFonts w:eastAsia="Calibri"/>
                <w:color w:val="000000"/>
                <w:lang w:eastAsia="uk-U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3D35BD" w:rsidRPr="005808DA" w:rsidRDefault="00E61989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72,22</w:t>
            </w:r>
          </w:p>
        </w:tc>
        <w:tc>
          <w:tcPr>
            <w:tcW w:w="1134" w:type="dxa"/>
          </w:tcPr>
          <w:p w:rsidR="003D35BD" w:rsidRPr="005808DA" w:rsidRDefault="00E61989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361,10</w:t>
            </w:r>
          </w:p>
        </w:tc>
      </w:tr>
      <w:tr w:rsidR="00916583" w:rsidRPr="002C5061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5808DA" w:rsidRDefault="00916583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14</w:t>
            </w:r>
          </w:p>
        </w:tc>
        <w:tc>
          <w:tcPr>
            <w:tcW w:w="3943" w:type="dxa"/>
            <w:shd w:val="clear" w:color="auto" w:fill="auto"/>
          </w:tcPr>
          <w:p w:rsidR="00916583" w:rsidRPr="005808DA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Разом, гривень (сума рядків 9 + 10 + 11 + 12 + 13)</w:t>
            </w:r>
          </w:p>
        </w:tc>
        <w:tc>
          <w:tcPr>
            <w:tcW w:w="1701" w:type="dxa"/>
            <w:shd w:val="clear" w:color="auto" w:fill="auto"/>
          </w:tcPr>
          <w:p w:rsidR="00916583" w:rsidRPr="005808DA" w:rsidRDefault="00E61989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72,22</w:t>
            </w:r>
          </w:p>
        </w:tc>
        <w:tc>
          <w:tcPr>
            <w:tcW w:w="1843" w:type="dxa"/>
            <w:shd w:val="clear" w:color="auto" w:fill="auto"/>
          </w:tcPr>
          <w:p w:rsidR="00916583" w:rsidRPr="005808DA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5808DA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5808DA" w:rsidRDefault="00E61989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361,10</w:t>
            </w:r>
          </w:p>
        </w:tc>
      </w:tr>
      <w:tr w:rsidR="003D35BD" w:rsidRPr="002C5061" w:rsidTr="00B0297A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5808DA" w:rsidRDefault="003D35BD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15</w:t>
            </w:r>
          </w:p>
        </w:tc>
        <w:tc>
          <w:tcPr>
            <w:tcW w:w="3943" w:type="dxa"/>
            <w:shd w:val="clear" w:color="auto" w:fill="auto"/>
          </w:tcPr>
          <w:p w:rsidR="003D35BD" w:rsidRPr="005808DA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D35BD" w:rsidRPr="005808DA" w:rsidRDefault="00E61989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</w:t>
            </w:r>
          </w:p>
        </w:tc>
      </w:tr>
      <w:tr w:rsidR="00916583" w:rsidRPr="001977C8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5808DA" w:rsidRDefault="00916583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16</w:t>
            </w:r>
          </w:p>
        </w:tc>
        <w:tc>
          <w:tcPr>
            <w:tcW w:w="3943" w:type="dxa"/>
            <w:shd w:val="clear" w:color="auto" w:fill="auto"/>
          </w:tcPr>
          <w:p w:rsidR="00916583" w:rsidRPr="005808DA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Сумарно, гривень відповідний стовпчик “разом” Х кількість суб’єктів малого підприємництва, що повинні виконати вимоги регулювання (рядок 14 Х рядок 15)</w:t>
            </w:r>
          </w:p>
        </w:tc>
        <w:tc>
          <w:tcPr>
            <w:tcW w:w="1701" w:type="dxa"/>
            <w:shd w:val="clear" w:color="auto" w:fill="auto"/>
          </w:tcPr>
          <w:p w:rsidR="00916583" w:rsidRPr="005808DA" w:rsidRDefault="00E61989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433,32</w:t>
            </w:r>
          </w:p>
        </w:tc>
        <w:tc>
          <w:tcPr>
            <w:tcW w:w="1843" w:type="dxa"/>
            <w:shd w:val="clear" w:color="auto" w:fill="auto"/>
          </w:tcPr>
          <w:p w:rsidR="00916583" w:rsidRPr="005808DA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5808DA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Default="00E61989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2166,60</w:t>
            </w:r>
          </w:p>
          <w:p w:rsidR="00BB6562" w:rsidRPr="005808DA" w:rsidRDefault="00BB6562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</w:p>
        </w:tc>
      </w:tr>
    </w:tbl>
    <w:p w:rsidR="006B2439" w:rsidRDefault="006B2439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b/>
          <w:color w:val="FF0000"/>
          <w:sz w:val="28"/>
          <w:szCs w:val="28"/>
          <w:lang w:val="ru-RU" w:eastAsia="uk-UA"/>
        </w:rPr>
      </w:pPr>
    </w:p>
    <w:p w:rsidR="0006613B" w:rsidRPr="00911060" w:rsidRDefault="0006613B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sz w:val="24"/>
          <w:szCs w:val="24"/>
          <w:lang w:val="ru-RU" w:eastAsia="uk-UA"/>
        </w:rPr>
      </w:pPr>
      <w:proofErr w:type="spellStart"/>
      <w:r w:rsidRPr="00911060">
        <w:rPr>
          <w:sz w:val="24"/>
          <w:szCs w:val="24"/>
          <w:lang w:val="ru-RU" w:eastAsia="uk-UA"/>
        </w:rPr>
        <w:t>Погодинний</w:t>
      </w:r>
      <w:proofErr w:type="spellEnd"/>
      <w:r w:rsidRPr="00911060">
        <w:rPr>
          <w:sz w:val="24"/>
          <w:szCs w:val="24"/>
          <w:lang w:val="ru-RU" w:eastAsia="uk-UA"/>
        </w:rPr>
        <w:t xml:space="preserve"> </w:t>
      </w:r>
      <w:proofErr w:type="spellStart"/>
      <w:r w:rsidRPr="00911060">
        <w:rPr>
          <w:sz w:val="24"/>
          <w:szCs w:val="24"/>
          <w:lang w:val="ru-RU" w:eastAsia="uk-UA"/>
        </w:rPr>
        <w:t>розмі</w:t>
      </w:r>
      <w:proofErr w:type="gramStart"/>
      <w:r w:rsidRPr="00911060">
        <w:rPr>
          <w:sz w:val="24"/>
          <w:szCs w:val="24"/>
          <w:lang w:val="ru-RU" w:eastAsia="uk-UA"/>
        </w:rPr>
        <w:t>р</w:t>
      </w:r>
      <w:proofErr w:type="spellEnd"/>
      <w:proofErr w:type="gramEnd"/>
      <w:r w:rsidRPr="00911060">
        <w:rPr>
          <w:sz w:val="24"/>
          <w:szCs w:val="24"/>
          <w:lang w:val="ru-RU" w:eastAsia="uk-UA"/>
        </w:rPr>
        <w:t xml:space="preserve"> </w:t>
      </w:r>
      <w:proofErr w:type="spellStart"/>
      <w:r w:rsidRPr="00911060">
        <w:rPr>
          <w:sz w:val="24"/>
          <w:szCs w:val="24"/>
          <w:lang w:val="ru-RU" w:eastAsia="uk-UA"/>
        </w:rPr>
        <w:t>мінімально</w:t>
      </w:r>
      <w:r w:rsidR="00E61989">
        <w:rPr>
          <w:sz w:val="24"/>
          <w:szCs w:val="24"/>
          <w:lang w:val="ru-RU" w:eastAsia="uk-UA"/>
        </w:rPr>
        <w:t>ї</w:t>
      </w:r>
      <w:proofErr w:type="spellEnd"/>
      <w:r w:rsidR="00E61989">
        <w:rPr>
          <w:sz w:val="24"/>
          <w:szCs w:val="24"/>
          <w:lang w:val="ru-RU" w:eastAsia="uk-UA"/>
        </w:rPr>
        <w:t xml:space="preserve"> </w:t>
      </w:r>
      <w:proofErr w:type="spellStart"/>
      <w:r w:rsidR="00E61989">
        <w:rPr>
          <w:sz w:val="24"/>
          <w:szCs w:val="24"/>
          <w:lang w:val="ru-RU" w:eastAsia="uk-UA"/>
        </w:rPr>
        <w:t>заробітної</w:t>
      </w:r>
      <w:proofErr w:type="spellEnd"/>
      <w:r w:rsidR="00E61989">
        <w:rPr>
          <w:sz w:val="24"/>
          <w:szCs w:val="24"/>
          <w:lang w:val="ru-RU" w:eastAsia="uk-UA"/>
        </w:rPr>
        <w:t xml:space="preserve"> плати на 2021</w:t>
      </w:r>
      <w:r w:rsidR="00911060">
        <w:rPr>
          <w:sz w:val="24"/>
          <w:szCs w:val="24"/>
          <w:lang w:val="ru-RU" w:eastAsia="uk-UA"/>
        </w:rPr>
        <w:t xml:space="preserve"> </w:t>
      </w:r>
      <w:proofErr w:type="spellStart"/>
      <w:r w:rsidR="00911060">
        <w:rPr>
          <w:sz w:val="24"/>
          <w:szCs w:val="24"/>
          <w:lang w:val="ru-RU" w:eastAsia="uk-UA"/>
        </w:rPr>
        <w:t>рік</w:t>
      </w:r>
      <w:proofErr w:type="spellEnd"/>
      <w:r w:rsidR="00911060">
        <w:rPr>
          <w:sz w:val="24"/>
          <w:szCs w:val="24"/>
          <w:lang w:val="ru-RU" w:eastAsia="uk-UA"/>
        </w:rPr>
        <w:t xml:space="preserve">  становить </w:t>
      </w:r>
      <w:r w:rsidR="00E61989">
        <w:rPr>
          <w:sz w:val="24"/>
          <w:szCs w:val="24"/>
          <w:lang w:val="ru-RU" w:eastAsia="uk-UA"/>
        </w:rPr>
        <w:t>36,11</w:t>
      </w:r>
      <w:r w:rsidR="00911060" w:rsidRPr="00911060">
        <w:rPr>
          <w:sz w:val="24"/>
          <w:szCs w:val="24"/>
          <w:lang w:val="ru-RU" w:eastAsia="uk-UA"/>
        </w:rPr>
        <w:t>.</w:t>
      </w:r>
    </w:p>
    <w:p w:rsidR="00911060" w:rsidRPr="0006613B" w:rsidRDefault="00911060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color w:val="FF0000"/>
          <w:sz w:val="24"/>
          <w:szCs w:val="24"/>
          <w:lang w:val="ru-RU" w:eastAsia="uk-UA"/>
        </w:rPr>
      </w:pPr>
    </w:p>
    <w:p w:rsidR="00173AE7" w:rsidRPr="001977C8" w:rsidRDefault="00173AE7" w:rsidP="00827064">
      <w:pPr>
        <w:shd w:val="clear" w:color="auto" w:fill="FFFFFF"/>
        <w:tabs>
          <w:tab w:val="left" w:pos="9639"/>
        </w:tabs>
        <w:ind w:left="450" w:right="710"/>
        <w:jc w:val="center"/>
        <w:textAlignment w:val="baseline"/>
        <w:rPr>
          <w:b/>
          <w:color w:val="000000"/>
          <w:sz w:val="24"/>
          <w:szCs w:val="24"/>
          <w:lang w:eastAsia="uk-UA"/>
        </w:rPr>
      </w:pPr>
      <w:r w:rsidRPr="001977C8">
        <w:rPr>
          <w:b/>
          <w:color w:val="000000"/>
          <w:sz w:val="24"/>
          <w:szCs w:val="24"/>
          <w:lang w:eastAsia="uk-UA"/>
        </w:rPr>
        <w:t>Бюджетні витрати на адміністрування регулювання суб’єктів малого підприємництва</w:t>
      </w:r>
    </w:p>
    <w:p w:rsidR="00E708EE" w:rsidRPr="001977C8" w:rsidRDefault="00E708EE" w:rsidP="00827064">
      <w:pPr>
        <w:shd w:val="clear" w:color="auto" w:fill="FFFFFF"/>
        <w:tabs>
          <w:tab w:val="left" w:pos="9639"/>
        </w:tabs>
        <w:ind w:left="450" w:right="710"/>
        <w:jc w:val="center"/>
        <w:textAlignment w:val="baseline"/>
        <w:rPr>
          <w:b/>
          <w:color w:val="000000"/>
          <w:sz w:val="24"/>
          <w:szCs w:val="24"/>
          <w:lang w:eastAsia="uk-UA"/>
        </w:rPr>
      </w:pPr>
    </w:p>
    <w:p w:rsidR="00E708EE" w:rsidRPr="001977C8" w:rsidRDefault="00E708EE" w:rsidP="00E708EE">
      <w:pPr>
        <w:shd w:val="clear" w:color="auto" w:fill="FFFFFF"/>
        <w:tabs>
          <w:tab w:val="left" w:pos="9639"/>
        </w:tabs>
        <w:ind w:firstLine="450"/>
        <w:jc w:val="both"/>
        <w:textAlignment w:val="baseline"/>
        <w:rPr>
          <w:color w:val="000000"/>
          <w:sz w:val="24"/>
          <w:szCs w:val="24"/>
          <w:lang w:eastAsia="uk-UA"/>
        </w:rPr>
      </w:pPr>
      <w:bookmarkStart w:id="1" w:name="n209"/>
      <w:bookmarkStart w:id="2" w:name="n210"/>
      <w:bookmarkStart w:id="3" w:name="n211"/>
      <w:bookmarkEnd w:id="1"/>
      <w:bookmarkEnd w:id="2"/>
      <w:bookmarkEnd w:id="3"/>
      <w:r w:rsidRPr="001977C8">
        <w:rPr>
          <w:color w:val="000000"/>
          <w:sz w:val="24"/>
          <w:szCs w:val="24"/>
          <w:lang w:eastAsia="uk-UA"/>
        </w:rPr>
        <w:t xml:space="preserve">Державний орган, для якого здійснюється розрахунок вартості адміністрування регулювання: </w:t>
      </w:r>
      <w:r w:rsidRPr="001977C8">
        <w:rPr>
          <w:color w:val="000000"/>
          <w:sz w:val="24"/>
          <w:szCs w:val="24"/>
          <w:u w:val="single"/>
          <w:lang w:eastAsia="uk-UA"/>
        </w:rPr>
        <w:t xml:space="preserve">виконавчий комітет </w:t>
      </w:r>
      <w:proofErr w:type="spellStart"/>
      <w:r w:rsidRPr="001977C8">
        <w:rPr>
          <w:color w:val="000000"/>
          <w:sz w:val="24"/>
          <w:szCs w:val="24"/>
          <w:u w:val="single"/>
          <w:lang w:eastAsia="uk-UA"/>
        </w:rPr>
        <w:t>Знам’янської</w:t>
      </w:r>
      <w:proofErr w:type="spellEnd"/>
      <w:r w:rsidRPr="001977C8">
        <w:rPr>
          <w:color w:val="000000"/>
          <w:sz w:val="24"/>
          <w:szCs w:val="24"/>
          <w:u w:val="single"/>
          <w:lang w:eastAsia="uk-UA"/>
        </w:rPr>
        <w:t xml:space="preserve"> міської ради</w:t>
      </w:r>
      <w:r w:rsidRPr="001977C8">
        <w:rPr>
          <w:color w:val="000000"/>
          <w:sz w:val="24"/>
          <w:szCs w:val="24"/>
          <w:lang w:eastAsia="uk-UA"/>
        </w:rPr>
        <w:t>.</w:t>
      </w:r>
    </w:p>
    <w:p w:rsidR="00173AE7" w:rsidRPr="001977C8" w:rsidRDefault="00173AE7" w:rsidP="00827064">
      <w:pPr>
        <w:shd w:val="clear" w:color="auto" w:fill="FFFFFF"/>
        <w:tabs>
          <w:tab w:val="left" w:pos="9639"/>
        </w:tabs>
        <w:ind w:right="1"/>
        <w:jc w:val="center"/>
        <w:textAlignment w:val="baseline"/>
        <w:rPr>
          <w:color w:val="000000"/>
          <w:sz w:val="16"/>
          <w:szCs w:val="16"/>
          <w:lang w:eastAsia="uk-UA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1"/>
        <w:gridCol w:w="2027"/>
        <w:gridCol w:w="1275"/>
        <w:gridCol w:w="1701"/>
        <w:gridCol w:w="1559"/>
        <w:gridCol w:w="1560"/>
        <w:gridCol w:w="1133"/>
      </w:tblGrid>
      <w:tr w:rsidR="00173AE7" w:rsidRPr="001977C8" w:rsidTr="00E33D95">
        <w:trPr>
          <w:trHeight w:val="189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827064">
            <w:pPr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 xml:space="preserve">Процедура регулювання суб’єктів малого підприємництва 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Планові витрати часу на процедуру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Вартість часу співробітника держоргану відповідної категорії (заробітна плата)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Оцінка кількості процедур за рік, що припадають на одного суб’єкта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 xml:space="preserve">Оцінка кількості  </w:t>
            </w:r>
            <w:r w:rsidRPr="001977C8">
              <w:rPr>
                <w:b/>
                <w:bCs/>
                <w:color w:val="000000"/>
                <w:lang w:eastAsia="uk-UA"/>
              </w:rPr>
              <w:br/>
              <w:t>суб’єктів, що підпадають під дію процедури регулювання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Витрати на адміністрування регулювання* (за рік), гривень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Облік суб’єкта господарювання, що </w:t>
            </w:r>
            <w:r w:rsidRPr="001977C8">
              <w:rPr>
                <w:rFonts w:eastAsia="Calibri"/>
                <w:color w:val="000000"/>
                <w:lang w:eastAsia="uk-UA"/>
              </w:rPr>
              <w:lastRenderedPageBreak/>
              <w:t>перебуває у сфері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lastRenderedPageBreak/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D01CCD" w:rsidRPr="001977C8" w:rsidTr="00E33D95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D01CCD" w:rsidRPr="001977C8" w:rsidRDefault="00D01CCD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lastRenderedPageBreak/>
              <w:t>2</w:t>
            </w:r>
          </w:p>
        </w:tc>
        <w:tc>
          <w:tcPr>
            <w:tcW w:w="2027" w:type="dxa"/>
            <w:shd w:val="clear" w:color="auto" w:fill="auto"/>
          </w:tcPr>
          <w:p w:rsidR="00D01CCD" w:rsidRPr="001977C8" w:rsidRDefault="00D01CCD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Поточний контроль за суб’єктом господарювання, що перебуває у сфері регулювання, у тому числі:</w:t>
            </w:r>
          </w:p>
        </w:tc>
        <w:tc>
          <w:tcPr>
            <w:tcW w:w="1275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D01CCD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D01CCD" w:rsidRPr="001977C8" w:rsidRDefault="00D01CCD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2.1</w:t>
            </w:r>
          </w:p>
        </w:tc>
        <w:tc>
          <w:tcPr>
            <w:tcW w:w="2027" w:type="dxa"/>
            <w:shd w:val="clear" w:color="auto" w:fill="auto"/>
          </w:tcPr>
          <w:p w:rsidR="00D01CCD" w:rsidRPr="001977C8" w:rsidRDefault="00D01CCD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камеральні</w:t>
            </w:r>
          </w:p>
        </w:tc>
        <w:tc>
          <w:tcPr>
            <w:tcW w:w="1275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2.2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виїзні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3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Підготовка, затвердження та опрацювання одного окремого акта про порушення вимог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4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Реалізація одного окремого рішення щодо порушення вимог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5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Оскарження одного окремого рішення суб’єктами господарювання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E708EE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E708EE" w:rsidRPr="001977C8" w:rsidRDefault="00E708EE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6</w:t>
            </w:r>
          </w:p>
        </w:tc>
        <w:tc>
          <w:tcPr>
            <w:tcW w:w="2027" w:type="dxa"/>
            <w:shd w:val="clear" w:color="auto" w:fill="auto"/>
          </w:tcPr>
          <w:p w:rsidR="00E708EE" w:rsidRPr="001977C8" w:rsidRDefault="00E708EE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Підготовка звітності за результатами регулювання</w:t>
            </w:r>
          </w:p>
        </w:tc>
        <w:tc>
          <w:tcPr>
            <w:tcW w:w="1275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7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Інші адміністративні процедури </w:t>
            </w:r>
            <w:r w:rsidR="00E708EE" w:rsidRPr="001977C8">
              <w:rPr>
                <w:rFonts w:eastAsia="Calibri"/>
                <w:color w:val="000000"/>
                <w:lang w:eastAsia="uk-UA"/>
              </w:rPr>
              <w:t xml:space="preserve">: перевірка розрахунків та підготовка регуляторного акту </w:t>
            </w:r>
            <w:r w:rsidRPr="001977C8">
              <w:rPr>
                <w:rFonts w:eastAsia="Calibri"/>
                <w:color w:val="000000"/>
                <w:lang w:eastAsia="uk-UA"/>
              </w:rPr>
              <w:t>(уточнити): копії, переоформлення, дублікат</w:t>
            </w:r>
          </w:p>
        </w:tc>
        <w:tc>
          <w:tcPr>
            <w:tcW w:w="1275" w:type="dxa"/>
            <w:shd w:val="clear" w:color="auto" w:fill="auto"/>
          </w:tcPr>
          <w:p w:rsidR="00173AE7" w:rsidRPr="00DF1C4C" w:rsidRDefault="00913618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DF1C4C">
              <w:rPr>
                <w:rFonts w:eastAsia="Calibri"/>
                <w:color w:val="000000"/>
                <w:lang w:eastAsia="uk-U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173AE7" w:rsidRPr="00DF1C4C" w:rsidRDefault="0098221E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136,75</w:t>
            </w:r>
          </w:p>
        </w:tc>
        <w:tc>
          <w:tcPr>
            <w:tcW w:w="1559" w:type="dxa"/>
            <w:shd w:val="clear" w:color="auto" w:fill="auto"/>
          </w:tcPr>
          <w:p w:rsidR="00173AE7" w:rsidRPr="00DF1C4C" w:rsidRDefault="0074401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DF1C4C">
              <w:rPr>
                <w:rFonts w:eastAsia="Calibri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73AE7" w:rsidRPr="00DF1C4C" w:rsidRDefault="00C778F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FE4A26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FE4A26" w:rsidRPr="001977C8" w:rsidRDefault="00FE4A26" w:rsidP="00827064">
            <w:pPr>
              <w:rPr>
                <w:b/>
                <w:bCs/>
                <w:lang w:eastAsia="uk-UA"/>
              </w:rPr>
            </w:pPr>
          </w:p>
        </w:tc>
        <w:tc>
          <w:tcPr>
            <w:tcW w:w="2027" w:type="dxa"/>
            <w:shd w:val="clear" w:color="auto" w:fill="auto"/>
          </w:tcPr>
          <w:p w:rsidR="00FE4A26" w:rsidRPr="001977C8" w:rsidRDefault="00FE4A26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Разом за рік</w:t>
            </w:r>
          </w:p>
        </w:tc>
        <w:tc>
          <w:tcPr>
            <w:tcW w:w="1275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FE4A26" w:rsidRDefault="00FE4A26" w:rsidP="00FE4A26">
            <w:pPr>
              <w:jc w:val="center"/>
            </w:pPr>
            <w:r w:rsidRPr="00BA11ED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FE4A26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FE4A26" w:rsidRPr="001977C8" w:rsidRDefault="00FE4A26" w:rsidP="00827064">
            <w:pPr>
              <w:rPr>
                <w:b/>
                <w:bCs/>
                <w:lang w:eastAsia="uk-UA"/>
              </w:rPr>
            </w:pPr>
          </w:p>
        </w:tc>
        <w:tc>
          <w:tcPr>
            <w:tcW w:w="2027" w:type="dxa"/>
            <w:shd w:val="clear" w:color="auto" w:fill="auto"/>
          </w:tcPr>
          <w:p w:rsidR="00FE4A26" w:rsidRPr="001977C8" w:rsidRDefault="00FE4A26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Сумарно за п’ять років</w:t>
            </w:r>
          </w:p>
        </w:tc>
        <w:tc>
          <w:tcPr>
            <w:tcW w:w="1275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FE4A26" w:rsidRDefault="00FE4A26" w:rsidP="00FE4A26">
            <w:pPr>
              <w:jc w:val="center"/>
            </w:pPr>
            <w:r w:rsidRPr="00BA11ED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</w:tbl>
    <w:p w:rsidR="00173AE7" w:rsidRPr="001977C8" w:rsidRDefault="00173AE7" w:rsidP="008270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173AE7" w:rsidRPr="001977C8" w:rsidRDefault="00173AE7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  <w:r w:rsidRPr="005D54CE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Розрахунок сумарних витрат суб’єктів малого підприємництва, що виникають на виконання вимог</w:t>
      </w: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 регулювання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"/>
        <w:gridCol w:w="6173"/>
        <w:gridCol w:w="1749"/>
        <w:gridCol w:w="1483"/>
      </w:tblGrid>
      <w:tr w:rsidR="00916583" w:rsidRPr="001977C8" w:rsidTr="00916583">
        <w:trPr>
          <w:trHeight w:val="870"/>
        </w:trPr>
        <w:tc>
          <w:tcPr>
            <w:tcW w:w="450" w:type="dxa"/>
            <w:shd w:val="clear" w:color="auto" w:fill="auto"/>
          </w:tcPr>
          <w:p w:rsidR="00916583" w:rsidRPr="001977C8" w:rsidRDefault="00916583" w:rsidP="00827064">
            <w:pPr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6173" w:type="dxa"/>
            <w:shd w:val="clear" w:color="auto" w:fill="auto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Показник</w:t>
            </w:r>
          </w:p>
        </w:tc>
        <w:tc>
          <w:tcPr>
            <w:tcW w:w="1749" w:type="dxa"/>
            <w:shd w:val="clear" w:color="auto" w:fill="auto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Перший рік регулювання (стартовий)</w:t>
            </w:r>
          </w:p>
        </w:tc>
        <w:tc>
          <w:tcPr>
            <w:tcW w:w="1483" w:type="dxa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За п’ять років</w:t>
            </w:r>
          </w:p>
        </w:tc>
      </w:tr>
      <w:tr w:rsidR="004C37DC" w:rsidRPr="001977C8" w:rsidTr="00916583">
        <w:trPr>
          <w:trHeight w:val="650"/>
        </w:trPr>
        <w:tc>
          <w:tcPr>
            <w:tcW w:w="450" w:type="dxa"/>
            <w:shd w:val="clear" w:color="auto" w:fill="auto"/>
          </w:tcPr>
          <w:p w:rsidR="004C37DC" w:rsidRPr="001977C8" w:rsidRDefault="004C37DC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6173" w:type="dxa"/>
            <w:shd w:val="clear" w:color="auto" w:fill="auto"/>
          </w:tcPr>
          <w:p w:rsidR="004C37DC" w:rsidRPr="001977C8" w:rsidRDefault="00EB7809" w:rsidP="00827064">
            <w:pPr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Оцінка "прямих"</w:t>
            </w:r>
            <w:r w:rsidR="004C37DC" w:rsidRPr="001977C8">
              <w:rPr>
                <w:rFonts w:eastAsia="Calibri"/>
                <w:color w:val="000000"/>
                <w:lang w:eastAsia="uk-UA"/>
              </w:rPr>
              <w:t xml:space="preserve"> витрат суб’єктів малого підприємництва на виконання регулювання</w:t>
            </w:r>
            <w:r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4C37DC" w:rsidRPr="007859C4" w:rsidRDefault="00E722FF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bdr w:val="none" w:sz="0" w:space="0" w:color="auto" w:frame="1"/>
              </w:rPr>
              <w:t>183558,00</w:t>
            </w:r>
          </w:p>
        </w:tc>
        <w:tc>
          <w:tcPr>
            <w:tcW w:w="1483" w:type="dxa"/>
          </w:tcPr>
          <w:p w:rsidR="004C37DC" w:rsidRPr="007859C4" w:rsidRDefault="00E722FF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917790</w:t>
            </w:r>
            <w:r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1977C8" w:rsidTr="00916583">
        <w:trPr>
          <w:trHeight w:val="827"/>
        </w:trPr>
        <w:tc>
          <w:tcPr>
            <w:tcW w:w="450" w:type="dxa"/>
            <w:shd w:val="clear" w:color="auto" w:fill="auto"/>
          </w:tcPr>
          <w:p w:rsidR="00916583" w:rsidRPr="001977C8" w:rsidRDefault="00916583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</w:t>
            </w:r>
          </w:p>
        </w:tc>
        <w:tc>
          <w:tcPr>
            <w:tcW w:w="6173" w:type="dxa"/>
            <w:shd w:val="clear" w:color="auto" w:fill="auto"/>
          </w:tcPr>
          <w:p w:rsidR="00916583" w:rsidRPr="001977C8" w:rsidRDefault="00916583" w:rsidP="00827064">
            <w:pPr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lang w:eastAsia="uk-UA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  <w:r w:rsidR="00EB7809">
              <w:rPr>
                <w:rFonts w:eastAsia="Calibri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916583" w:rsidRPr="007859C4" w:rsidRDefault="002C2089" w:rsidP="00827064">
            <w:pPr>
              <w:jc w:val="center"/>
              <w:rPr>
                <w:rFonts w:eastAsia="Calibri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433,32</w:t>
            </w:r>
          </w:p>
        </w:tc>
        <w:tc>
          <w:tcPr>
            <w:tcW w:w="1483" w:type="dxa"/>
          </w:tcPr>
          <w:p w:rsidR="002C2089" w:rsidRDefault="002C2089" w:rsidP="002C2089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2166,60</w:t>
            </w:r>
          </w:p>
          <w:p w:rsidR="00916583" w:rsidRPr="007859C4" w:rsidRDefault="00916583" w:rsidP="00827064">
            <w:pPr>
              <w:jc w:val="center"/>
              <w:rPr>
                <w:rFonts w:eastAsia="Calibri"/>
                <w:highlight w:val="yellow"/>
                <w:lang w:eastAsia="uk-UA"/>
              </w:rPr>
            </w:pPr>
          </w:p>
        </w:tc>
      </w:tr>
      <w:tr w:rsidR="004C37DC" w:rsidRPr="001977C8" w:rsidTr="00916583">
        <w:trPr>
          <w:trHeight w:val="683"/>
        </w:trPr>
        <w:tc>
          <w:tcPr>
            <w:tcW w:w="450" w:type="dxa"/>
            <w:shd w:val="clear" w:color="auto" w:fill="auto"/>
          </w:tcPr>
          <w:p w:rsidR="004C37DC" w:rsidRPr="001977C8" w:rsidRDefault="004C37DC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3</w:t>
            </w:r>
          </w:p>
        </w:tc>
        <w:tc>
          <w:tcPr>
            <w:tcW w:w="6173" w:type="dxa"/>
            <w:shd w:val="clear" w:color="auto" w:fill="auto"/>
          </w:tcPr>
          <w:p w:rsidR="004C37DC" w:rsidRPr="001977C8" w:rsidRDefault="004C37DC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Сумарні витрати малого підприємництва на виконання запланованого  регулювання</w:t>
            </w:r>
            <w:r w:rsidR="00EB7809"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4C37DC" w:rsidRPr="007859C4" w:rsidRDefault="002C2089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183991,32</w:t>
            </w:r>
          </w:p>
        </w:tc>
        <w:tc>
          <w:tcPr>
            <w:tcW w:w="1483" w:type="dxa"/>
          </w:tcPr>
          <w:p w:rsidR="004C37DC" w:rsidRPr="007859C4" w:rsidRDefault="002C2089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919956,6</w:t>
            </w:r>
          </w:p>
        </w:tc>
      </w:tr>
      <w:tr w:rsidR="00E722FF" w:rsidRPr="001977C8" w:rsidTr="00916583">
        <w:trPr>
          <w:trHeight w:val="566"/>
        </w:trPr>
        <w:tc>
          <w:tcPr>
            <w:tcW w:w="450" w:type="dxa"/>
            <w:shd w:val="clear" w:color="auto" w:fill="auto"/>
          </w:tcPr>
          <w:p w:rsidR="00E722FF" w:rsidRPr="001977C8" w:rsidRDefault="00E722FF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4</w:t>
            </w:r>
          </w:p>
        </w:tc>
        <w:tc>
          <w:tcPr>
            <w:tcW w:w="6173" w:type="dxa"/>
            <w:shd w:val="clear" w:color="auto" w:fill="auto"/>
          </w:tcPr>
          <w:p w:rsidR="00E722FF" w:rsidRPr="001977C8" w:rsidRDefault="00E722FF" w:rsidP="00827064">
            <w:pPr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lang w:eastAsia="uk-UA"/>
              </w:rPr>
              <w:t>Бюджетні витрати  на адміністрування регулювання суб’єктів малого підприємництва</w:t>
            </w:r>
            <w:r>
              <w:rPr>
                <w:rFonts w:eastAsia="Calibri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E722FF" w:rsidRDefault="00E722FF" w:rsidP="00E722FF">
            <w:pPr>
              <w:jc w:val="center"/>
            </w:pPr>
            <w:r w:rsidRPr="00FA469B">
              <w:rPr>
                <w:rFonts w:eastAsia="Calibri"/>
                <w:color w:val="000000"/>
                <w:lang w:eastAsia="uk-UA"/>
              </w:rPr>
              <w:t>1367,50</w:t>
            </w:r>
          </w:p>
        </w:tc>
        <w:tc>
          <w:tcPr>
            <w:tcW w:w="1483" w:type="dxa"/>
          </w:tcPr>
          <w:p w:rsidR="00E722FF" w:rsidRDefault="00E722FF" w:rsidP="00E722FF">
            <w:pPr>
              <w:jc w:val="center"/>
            </w:pPr>
            <w:r w:rsidRPr="00FA469B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B20891" w:rsidRPr="001977C8" w:rsidTr="00916583">
        <w:trPr>
          <w:trHeight w:val="546"/>
        </w:trPr>
        <w:tc>
          <w:tcPr>
            <w:tcW w:w="450" w:type="dxa"/>
            <w:shd w:val="clear" w:color="auto" w:fill="auto"/>
          </w:tcPr>
          <w:p w:rsidR="00B20891" w:rsidRPr="001977C8" w:rsidRDefault="00B20891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lastRenderedPageBreak/>
              <w:t>5</w:t>
            </w:r>
          </w:p>
        </w:tc>
        <w:tc>
          <w:tcPr>
            <w:tcW w:w="6173" w:type="dxa"/>
            <w:shd w:val="clear" w:color="auto" w:fill="auto"/>
          </w:tcPr>
          <w:p w:rsidR="00B20891" w:rsidRPr="001977C8" w:rsidRDefault="00B20891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Сумарні витрати на виконання запланованого регулювання</w:t>
            </w:r>
            <w:r w:rsidR="00EB7809"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B20891" w:rsidRPr="007859C4" w:rsidRDefault="002C2089" w:rsidP="000F1F04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t>185358,82</w:t>
            </w:r>
          </w:p>
        </w:tc>
        <w:tc>
          <w:tcPr>
            <w:tcW w:w="1483" w:type="dxa"/>
          </w:tcPr>
          <w:p w:rsidR="00C53218" w:rsidRPr="009170D4" w:rsidRDefault="00865917" w:rsidP="009170D4">
            <w:pPr>
              <w:rPr>
                <w:rFonts w:eastAsia="Calibri"/>
                <w:color w:val="000000"/>
                <w:lang w:eastAsia="uk-UA"/>
              </w:rPr>
            </w:pPr>
            <w:r w:rsidRPr="00865917">
              <w:rPr>
                <w:rFonts w:eastAsia="Calibri"/>
                <w:color w:val="000000"/>
                <w:lang w:eastAsia="uk-UA"/>
              </w:rPr>
              <w:t xml:space="preserve">      </w:t>
            </w:r>
            <w:r w:rsidR="002C2089">
              <w:rPr>
                <w:rFonts w:eastAsia="Calibri"/>
                <w:color w:val="000000"/>
                <w:lang w:eastAsia="uk-UA"/>
              </w:rPr>
              <w:t>921324,10</w:t>
            </w:r>
          </w:p>
        </w:tc>
      </w:tr>
    </w:tbl>
    <w:p w:rsidR="008B1FDA" w:rsidRPr="001977C8" w:rsidRDefault="0049455B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Розроблення </w:t>
      </w:r>
      <w:proofErr w:type="spellStart"/>
      <w:r w:rsidR="00F53885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корегуючи</w:t>
      </w:r>
      <w:r w:rsidR="00757AA0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х</w:t>
      </w:r>
      <w:proofErr w:type="spellEnd"/>
      <w:r w:rsidR="00F53885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(пом’якшувальних) заходів для малого підприємництва щодо запропонованого регулювання</w:t>
      </w:r>
    </w:p>
    <w:p w:rsidR="008B1FDA" w:rsidRPr="001977C8" w:rsidRDefault="008B1FDA" w:rsidP="008B1FDA">
      <w:pPr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</w:p>
    <w:p w:rsidR="00E33D95" w:rsidRPr="001977C8" w:rsidRDefault="00AC64A1" w:rsidP="008B1FDA">
      <w:pPr>
        <w:tabs>
          <w:tab w:val="left" w:pos="9639"/>
        </w:tabs>
        <w:ind w:firstLine="567"/>
        <w:jc w:val="both"/>
        <w:rPr>
          <w:rFonts w:eastAsia="Calibri"/>
          <w:sz w:val="24"/>
          <w:szCs w:val="24"/>
        </w:rPr>
      </w:pPr>
      <w:r w:rsidRPr="001977C8">
        <w:rPr>
          <w:rFonts w:eastAsia="Calibri"/>
          <w:sz w:val="24"/>
          <w:szCs w:val="24"/>
        </w:rPr>
        <w:t>В</w:t>
      </w:r>
      <w:r w:rsidR="00F53885" w:rsidRPr="001977C8">
        <w:rPr>
          <w:rFonts w:eastAsia="Calibri"/>
          <w:sz w:val="24"/>
          <w:szCs w:val="24"/>
        </w:rPr>
        <w:t xml:space="preserve">провадження </w:t>
      </w:r>
      <w:proofErr w:type="spellStart"/>
      <w:r w:rsidR="00F53885" w:rsidRPr="001977C8">
        <w:rPr>
          <w:rFonts w:eastAsia="Calibri"/>
          <w:sz w:val="24"/>
          <w:szCs w:val="24"/>
        </w:rPr>
        <w:t>корегуючи</w:t>
      </w:r>
      <w:r w:rsidRPr="001977C8">
        <w:rPr>
          <w:rFonts w:eastAsia="Calibri"/>
          <w:sz w:val="24"/>
          <w:szCs w:val="24"/>
        </w:rPr>
        <w:t>х</w:t>
      </w:r>
      <w:proofErr w:type="spellEnd"/>
      <w:r w:rsidR="00E82C61" w:rsidRPr="001977C8">
        <w:rPr>
          <w:rFonts w:eastAsia="Calibri"/>
          <w:sz w:val="24"/>
          <w:szCs w:val="24"/>
        </w:rPr>
        <w:t xml:space="preserve"> заходів не доцільно, оскільки прийняття даного регуляторного акта враховує інтереси усіх зацік</w:t>
      </w:r>
      <w:r w:rsidR="001A1C98" w:rsidRPr="001977C8">
        <w:rPr>
          <w:rFonts w:eastAsia="Calibri"/>
          <w:sz w:val="24"/>
          <w:szCs w:val="24"/>
        </w:rPr>
        <w:t>авлених сторін: держави, комунального підприємства</w:t>
      </w:r>
      <w:r w:rsidR="00E82C61" w:rsidRPr="001977C8">
        <w:rPr>
          <w:rFonts w:eastAsia="Calibri"/>
          <w:sz w:val="24"/>
          <w:szCs w:val="24"/>
        </w:rPr>
        <w:t xml:space="preserve"> (як с</w:t>
      </w:r>
      <w:r w:rsidR="00DA34B6" w:rsidRPr="001977C8">
        <w:rPr>
          <w:rFonts w:eastAsia="Calibri"/>
          <w:sz w:val="24"/>
          <w:szCs w:val="24"/>
        </w:rPr>
        <w:t xml:space="preserve">уб'єкта господарювання), </w:t>
      </w:r>
      <w:r w:rsidR="00CC2159" w:rsidRPr="001977C8">
        <w:rPr>
          <w:rFonts w:eastAsia="Calibri"/>
          <w:sz w:val="24"/>
          <w:szCs w:val="24"/>
        </w:rPr>
        <w:t>суб'єктів малого підприємництва</w:t>
      </w:r>
      <w:r w:rsidR="005C2DDB">
        <w:rPr>
          <w:rFonts w:eastAsia="Calibri"/>
          <w:sz w:val="24"/>
          <w:szCs w:val="24"/>
        </w:rPr>
        <w:t>, населення</w:t>
      </w:r>
      <w:r w:rsidR="00DA34B6" w:rsidRPr="001977C8">
        <w:rPr>
          <w:rFonts w:eastAsia="Calibri"/>
          <w:sz w:val="24"/>
          <w:szCs w:val="24"/>
        </w:rPr>
        <w:t xml:space="preserve"> </w:t>
      </w:r>
      <w:r w:rsidR="009D237C" w:rsidRPr="001977C8">
        <w:rPr>
          <w:rFonts w:eastAsia="Calibri"/>
          <w:sz w:val="24"/>
          <w:szCs w:val="24"/>
        </w:rPr>
        <w:t xml:space="preserve"> та</w:t>
      </w:r>
      <w:r w:rsidR="003A1117" w:rsidRPr="001977C8">
        <w:rPr>
          <w:rFonts w:eastAsia="Calibri"/>
          <w:sz w:val="24"/>
          <w:szCs w:val="24"/>
        </w:rPr>
        <w:t xml:space="preserve"> повністю відповідає потребам у вирішенні проблеми:</w:t>
      </w:r>
    </w:p>
    <w:p w:rsidR="009D237C" w:rsidRPr="001977C8" w:rsidRDefault="009D237C" w:rsidP="009D237C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беззбиткова діяльність комунального підприємства;</w:t>
      </w:r>
    </w:p>
    <w:p w:rsidR="00087E41" w:rsidRPr="001977C8" w:rsidRDefault="009D237C" w:rsidP="00087E41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поліпшення якості надання послуг; </w:t>
      </w:r>
    </w:p>
    <w:p w:rsidR="003A1117" w:rsidRPr="001977C8" w:rsidRDefault="009D237C" w:rsidP="00087E41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збільшення надходжень до бюджету міста</w:t>
      </w:r>
      <w:r w:rsidR="004616E9" w:rsidRPr="001977C8">
        <w:rPr>
          <w:rFonts w:eastAsia="Calibri"/>
          <w:sz w:val="24"/>
          <w:szCs w:val="24"/>
        </w:rPr>
        <w:t>.</w:t>
      </w:r>
    </w:p>
    <w:p w:rsidR="00424564" w:rsidRPr="001977C8" w:rsidRDefault="00424564" w:rsidP="008B1FDA">
      <w:pPr>
        <w:tabs>
          <w:tab w:val="left" w:pos="9639"/>
        </w:tabs>
        <w:rPr>
          <w:rFonts w:eastAsia="Calibri"/>
          <w:color w:val="00B050"/>
          <w:sz w:val="22"/>
          <w:szCs w:val="22"/>
        </w:rPr>
      </w:pPr>
    </w:p>
    <w:p w:rsidR="00F5734D" w:rsidRPr="001977C8" w:rsidRDefault="00F5734D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VII. Обґрунтування запропонованого строку дії регуляторного акта</w:t>
      </w:r>
    </w:p>
    <w:p w:rsidR="00DA34B6" w:rsidRPr="001977C8" w:rsidRDefault="00DA34B6" w:rsidP="00827064">
      <w:pPr>
        <w:jc w:val="both"/>
        <w:rPr>
          <w:b/>
          <w:sz w:val="24"/>
          <w:szCs w:val="24"/>
        </w:rPr>
      </w:pPr>
    </w:p>
    <w:p w:rsidR="00936F23" w:rsidRPr="001977C8" w:rsidRDefault="003F2351" w:rsidP="00827064">
      <w:pPr>
        <w:widowControl w:val="0"/>
        <w:ind w:firstLine="70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lang w:eastAsia="uk-UA"/>
        </w:rPr>
        <w:t>Даний регуляторний акт запроваджується на невизначеній термін та буде переглянутий або скасо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ваний у разі змін в оплаті праці працівників </w:t>
      </w:r>
      <w:r w:rsidR="002D596C" w:rsidRPr="001977C8">
        <w:rPr>
          <w:color w:val="000000"/>
          <w:spacing w:val="1"/>
          <w:sz w:val="24"/>
          <w:szCs w:val="24"/>
          <w:lang w:eastAsia="uk-UA"/>
        </w:rPr>
        <w:t>підприємства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 згідно з урядовими рішенням</w:t>
      </w:r>
      <w:r w:rsidR="002D596C" w:rsidRPr="001977C8">
        <w:rPr>
          <w:color w:val="000000"/>
          <w:spacing w:val="1"/>
          <w:sz w:val="24"/>
          <w:szCs w:val="24"/>
          <w:lang w:eastAsia="uk-UA"/>
        </w:rPr>
        <w:t>и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>, з</w:t>
      </w:r>
      <w:r w:rsidR="008B1FDA" w:rsidRPr="001977C8">
        <w:rPr>
          <w:color w:val="000000"/>
          <w:spacing w:val="1"/>
          <w:sz w:val="24"/>
          <w:szCs w:val="24"/>
          <w:lang w:eastAsia="uk-UA"/>
        </w:rPr>
        <w:t>ростання тарифів на енергоносії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, ріст закупівельних цін на </w:t>
      </w:r>
      <w:r w:rsidR="002D596C" w:rsidRPr="001977C8">
        <w:rPr>
          <w:sz w:val="24"/>
          <w:szCs w:val="24"/>
        </w:rPr>
        <w:t>канцелярські товари та інші необхідні товари і послуги, що використовуються в господарській діяльності</w:t>
      </w:r>
      <w:r w:rsidRPr="001977C8">
        <w:rPr>
          <w:color w:val="000000"/>
          <w:spacing w:val="1"/>
          <w:sz w:val="24"/>
          <w:szCs w:val="24"/>
          <w:lang w:eastAsia="uk-UA"/>
        </w:rPr>
        <w:t>.</w:t>
      </w:r>
    </w:p>
    <w:p w:rsidR="00936F23" w:rsidRPr="001977C8" w:rsidRDefault="00936F23" w:rsidP="00827064">
      <w:pPr>
        <w:jc w:val="both"/>
        <w:rPr>
          <w:b/>
          <w:sz w:val="24"/>
          <w:szCs w:val="24"/>
        </w:rPr>
      </w:pPr>
    </w:p>
    <w:p w:rsidR="00936F23" w:rsidRPr="001977C8" w:rsidRDefault="00936F23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VIII. Визначення показників результативності дії регуляторного акта</w:t>
      </w:r>
      <w:r w:rsidR="00DA34B6" w:rsidRPr="001977C8">
        <w:rPr>
          <w:b/>
          <w:sz w:val="24"/>
          <w:szCs w:val="24"/>
        </w:rPr>
        <w:t xml:space="preserve"> </w:t>
      </w:r>
    </w:p>
    <w:p w:rsidR="009425F5" w:rsidRPr="00F4723A" w:rsidRDefault="009425F5" w:rsidP="009425F5">
      <w:pPr>
        <w:rPr>
          <w:b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417"/>
        <w:gridCol w:w="1337"/>
        <w:gridCol w:w="1337"/>
        <w:gridCol w:w="1276"/>
      </w:tblGrid>
      <w:tr w:rsidR="009425F5" w:rsidRPr="002673BD" w:rsidTr="00721B6B">
        <w:tc>
          <w:tcPr>
            <w:tcW w:w="4503" w:type="dxa"/>
          </w:tcPr>
          <w:p w:rsidR="009425F5" w:rsidRPr="005C473D" w:rsidRDefault="009425F5" w:rsidP="00721B6B">
            <w:pPr>
              <w:widowControl w:val="0"/>
              <w:ind w:right="23"/>
              <w:jc w:val="both"/>
              <w:rPr>
                <w:color w:val="FF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4B7957">
              <w:rPr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3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4B7957">
              <w:rPr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3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4B7957">
              <w:rPr>
                <w:spacing w:val="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76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4B7957">
              <w:rPr>
                <w:spacing w:val="1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B7957" w:rsidRPr="002673BD" w:rsidTr="00721B6B">
        <w:tc>
          <w:tcPr>
            <w:tcW w:w="4503" w:type="dxa"/>
          </w:tcPr>
          <w:p w:rsidR="004B7957" w:rsidRPr="00832626" w:rsidRDefault="004B7957" w:rsidP="00721B6B">
            <w:pPr>
              <w:widowControl w:val="0"/>
              <w:ind w:right="23"/>
              <w:jc w:val="both"/>
              <w:rPr>
                <w:sz w:val="24"/>
                <w:szCs w:val="24"/>
              </w:rPr>
            </w:pPr>
            <w:r w:rsidRPr="00832626">
              <w:rPr>
                <w:sz w:val="24"/>
                <w:szCs w:val="24"/>
              </w:rPr>
              <w:t>Розмір надходжень до державного та місцевих бюджетів і державних цільових фондів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B7957" w:rsidRPr="009A6CA4" w:rsidRDefault="004B7957" w:rsidP="00721B6B">
            <w:pPr>
              <w:widowControl w:val="0"/>
              <w:ind w:left="-252" w:right="23" w:firstLine="252"/>
              <w:jc w:val="center"/>
              <w:rPr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  <w:r w:rsidRPr="004B7957">
              <w:rPr>
                <w:spacing w:val="1"/>
                <w:sz w:val="24"/>
                <w:szCs w:val="24"/>
                <w:shd w:val="clear" w:color="auto" w:fill="FFFFFF"/>
              </w:rPr>
              <w:t>4,0</w:t>
            </w:r>
          </w:p>
        </w:tc>
        <w:tc>
          <w:tcPr>
            <w:tcW w:w="1337" w:type="dxa"/>
          </w:tcPr>
          <w:p w:rsidR="004B7957" w:rsidRDefault="004B7957" w:rsidP="004B7957">
            <w:pPr>
              <w:jc w:val="center"/>
            </w:pPr>
            <w:r w:rsidRPr="003C16A4">
              <w:rPr>
                <w:spacing w:val="1"/>
                <w:sz w:val="24"/>
                <w:szCs w:val="24"/>
                <w:shd w:val="clear" w:color="auto" w:fill="FFFFFF"/>
              </w:rPr>
              <w:t>4,0</w:t>
            </w:r>
          </w:p>
        </w:tc>
        <w:tc>
          <w:tcPr>
            <w:tcW w:w="1337" w:type="dxa"/>
          </w:tcPr>
          <w:p w:rsidR="004B7957" w:rsidRDefault="004B7957" w:rsidP="004B7957">
            <w:pPr>
              <w:jc w:val="center"/>
            </w:pPr>
            <w:r w:rsidRPr="003C16A4">
              <w:rPr>
                <w:spacing w:val="1"/>
                <w:sz w:val="24"/>
                <w:szCs w:val="24"/>
                <w:shd w:val="clear" w:color="auto" w:fill="FFFFFF"/>
              </w:rPr>
              <w:t>4,0</w:t>
            </w:r>
          </w:p>
        </w:tc>
        <w:tc>
          <w:tcPr>
            <w:tcW w:w="1276" w:type="dxa"/>
          </w:tcPr>
          <w:p w:rsidR="004B7957" w:rsidRDefault="004B7957" w:rsidP="004B7957">
            <w:pPr>
              <w:jc w:val="center"/>
            </w:pPr>
            <w:r w:rsidRPr="003C16A4">
              <w:rPr>
                <w:spacing w:val="1"/>
                <w:sz w:val="24"/>
                <w:szCs w:val="24"/>
                <w:shd w:val="clear" w:color="auto" w:fill="FFFFFF"/>
              </w:rPr>
              <w:t>4,0</w:t>
            </w:r>
          </w:p>
        </w:tc>
      </w:tr>
      <w:tr w:rsidR="00AE42DD" w:rsidRPr="008124F1" w:rsidTr="00721B6B">
        <w:tc>
          <w:tcPr>
            <w:tcW w:w="4503" w:type="dxa"/>
          </w:tcPr>
          <w:p w:rsidR="00AE42DD" w:rsidRPr="00832626" w:rsidRDefault="00CE3830" w:rsidP="00721B6B">
            <w:pPr>
              <w:widowControl w:val="0"/>
              <w:ind w:right="23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</w:t>
            </w:r>
            <w:r w:rsidR="00AE42DD" w:rsidRPr="00832626">
              <w:rPr>
                <w:sz w:val="24"/>
                <w:szCs w:val="24"/>
                <w:shd w:val="clear" w:color="auto" w:fill="FFFFFF"/>
              </w:rPr>
              <w:t>ількість суб'єктів господарювання</w:t>
            </w:r>
            <w:r w:rsidR="00DE32C8" w:rsidRPr="00832626">
              <w:rPr>
                <w:sz w:val="24"/>
                <w:szCs w:val="24"/>
                <w:shd w:val="clear" w:color="auto" w:fill="FFFFFF"/>
              </w:rPr>
              <w:t xml:space="preserve"> та/або фізичних осіб, на яких поширює</w:t>
            </w:r>
            <w:r w:rsidR="00AE42DD" w:rsidRPr="00832626">
              <w:rPr>
                <w:sz w:val="24"/>
                <w:szCs w:val="24"/>
                <w:shd w:val="clear" w:color="auto" w:fill="FFFFFF"/>
              </w:rPr>
              <w:t>ться дія акта</w:t>
            </w:r>
            <w:r w:rsidR="00BC2CFC">
              <w:rPr>
                <w:sz w:val="24"/>
                <w:szCs w:val="24"/>
                <w:shd w:val="clear" w:color="auto" w:fill="FFFFFF"/>
              </w:rPr>
              <w:t>, од.</w:t>
            </w:r>
          </w:p>
        </w:tc>
        <w:tc>
          <w:tcPr>
            <w:tcW w:w="1417" w:type="dxa"/>
          </w:tcPr>
          <w:p w:rsidR="00AE42DD" w:rsidRPr="009170D4" w:rsidRDefault="009A6CA4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37" w:type="dxa"/>
          </w:tcPr>
          <w:p w:rsidR="00AE42DD" w:rsidRPr="009170D4" w:rsidRDefault="009A6CA4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7" w:type="dxa"/>
          </w:tcPr>
          <w:p w:rsidR="00AE42DD" w:rsidRPr="009170D4" w:rsidRDefault="009A6CA4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E42DD" w:rsidRPr="009170D4" w:rsidRDefault="009A6CA4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A6CA4" w:rsidRPr="008124F1" w:rsidTr="00721B6B">
        <w:tc>
          <w:tcPr>
            <w:tcW w:w="4503" w:type="dxa"/>
          </w:tcPr>
          <w:p w:rsidR="009A6CA4" w:rsidRPr="00A12332" w:rsidRDefault="009A6CA4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 xml:space="preserve">Розмір коштів і час, що витрачаються суб'єктами господарювання та/або фізичними особами, пов'язаними з виконанням вимог акта </w:t>
            </w:r>
            <w:r>
              <w:rPr>
                <w:sz w:val="24"/>
                <w:szCs w:val="24"/>
                <w:shd w:val="clear" w:color="auto" w:fill="FFFFFF"/>
              </w:rPr>
              <w:t>(одним суб'єктом господарювання витрачається близько 2 годин.), грн.</w:t>
            </w:r>
          </w:p>
        </w:tc>
        <w:tc>
          <w:tcPr>
            <w:tcW w:w="1417" w:type="dxa"/>
          </w:tcPr>
          <w:p w:rsidR="009A6CA4" w:rsidRPr="009A6CA4" w:rsidRDefault="009A6CA4" w:rsidP="009A6CA4">
            <w:pPr>
              <w:jc w:val="center"/>
              <w:rPr>
                <w:sz w:val="24"/>
                <w:szCs w:val="24"/>
              </w:rPr>
            </w:pPr>
            <w:r w:rsidRPr="009A6CA4">
              <w:rPr>
                <w:rFonts w:eastAsia="Calibri"/>
                <w:color w:val="000000"/>
                <w:sz w:val="24"/>
                <w:szCs w:val="24"/>
                <w:lang w:eastAsia="uk-UA"/>
              </w:rPr>
              <w:t>433,32</w:t>
            </w:r>
          </w:p>
        </w:tc>
        <w:tc>
          <w:tcPr>
            <w:tcW w:w="1337" w:type="dxa"/>
          </w:tcPr>
          <w:p w:rsidR="009A6CA4" w:rsidRPr="009A6CA4" w:rsidRDefault="009A6CA4" w:rsidP="009A6CA4">
            <w:pPr>
              <w:jc w:val="center"/>
              <w:rPr>
                <w:sz w:val="24"/>
                <w:szCs w:val="24"/>
              </w:rPr>
            </w:pPr>
            <w:r w:rsidRPr="009A6CA4">
              <w:rPr>
                <w:rFonts w:eastAsia="Calibri"/>
                <w:color w:val="000000"/>
                <w:sz w:val="24"/>
                <w:szCs w:val="24"/>
                <w:lang w:eastAsia="uk-UA"/>
              </w:rPr>
              <w:t>433,32</w:t>
            </w:r>
          </w:p>
        </w:tc>
        <w:tc>
          <w:tcPr>
            <w:tcW w:w="1337" w:type="dxa"/>
          </w:tcPr>
          <w:p w:rsidR="009A6CA4" w:rsidRPr="009A6CA4" w:rsidRDefault="009A6CA4" w:rsidP="009A6CA4">
            <w:pPr>
              <w:jc w:val="center"/>
              <w:rPr>
                <w:sz w:val="24"/>
                <w:szCs w:val="24"/>
              </w:rPr>
            </w:pPr>
            <w:r w:rsidRPr="009A6CA4">
              <w:rPr>
                <w:rFonts w:eastAsia="Calibri"/>
                <w:color w:val="000000"/>
                <w:sz w:val="24"/>
                <w:szCs w:val="24"/>
                <w:lang w:eastAsia="uk-UA"/>
              </w:rPr>
              <w:t>433,32</w:t>
            </w:r>
          </w:p>
        </w:tc>
        <w:tc>
          <w:tcPr>
            <w:tcW w:w="1276" w:type="dxa"/>
          </w:tcPr>
          <w:p w:rsidR="009A6CA4" w:rsidRPr="009A6CA4" w:rsidRDefault="009A6CA4" w:rsidP="009A6CA4">
            <w:pPr>
              <w:jc w:val="center"/>
              <w:rPr>
                <w:sz w:val="24"/>
                <w:szCs w:val="24"/>
              </w:rPr>
            </w:pPr>
            <w:r w:rsidRPr="009A6CA4">
              <w:rPr>
                <w:rFonts w:eastAsia="Calibri"/>
                <w:color w:val="000000"/>
                <w:sz w:val="24"/>
                <w:szCs w:val="24"/>
                <w:lang w:eastAsia="uk-UA"/>
              </w:rPr>
              <w:t>433,32</w:t>
            </w:r>
          </w:p>
        </w:tc>
      </w:tr>
      <w:tr w:rsidR="00AC1BD6" w:rsidRPr="008124F1" w:rsidTr="00257557">
        <w:tc>
          <w:tcPr>
            <w:tcW w:w="4503" w:type="dxa"/>
          </w:tcPr>
          <w:p w:rsidR="00AC1BD6" w:rsidRPr="002673BD" w:rsidRDefault="00CE3830" w:rsidP="00721B6B">
            <w:pPr>
              <w:widowControl w:val="0"/>
              <w:ind w:right="23"/>
              <w:jc w:val="both"/>
              <w:rPr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AC1BD6" w:rsidRPr="005C473D">
              <w:rPr>
                <w:color w:val="000000"/>
                <w:sz w:val="24"/>
                <w:szCs w:val="24"/>
                <w:shd w:val="clear" w:color="auto" w:fill="FFFFFF"/>
              </w:rPr>
              <w:t>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5367" w:type="dxa"/>
            <w:gridSpan w:val="4"/>
          </w:tcPr>
          <w:p w:rsidR="00AC1BD6" w:rsidRPr="002673BD" w:rsidRDefault="00AC1BD6" w:rsidP="00AE42DD">
            <w:pPr>
              <w:jc w:val="center"/>
              <w:rPr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Всі суб’єкти </w:t>
            </w:r>
            <w:r>
              <w:rPr>
                <w:spacing w:val="1"/>
                <w:sz w:val="24"/>
                <w:szCs w:val="24"/>
                <w:shd w:val="clear" w:color="auto" w:fill="FFFFFF"/>
              </w:rPr>
              <w:t>господарювання</w:t>
            </w:r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 проінформовані про рішення виконавчого комітету </w:t>
            </w:r>
            <w:proofErr w:type="spellStart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>Знам’янської</w:t>
            </w:r>
            <w:proofErr w:type="spellEnd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 міської ради шляхом опублікування його у друкованому виданні «</w:t>
            </w:r>
            <w:proofErr w:type="spellStart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>Знам’янські</w:t>
            </w:r>
            <w:proofErr w:type="spellEnd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 вісті» та на офіційному сайті міської </w:t>
            </w:r>
            <w:r w:rsidR="00F55F0E">
              <w:rPr>
                <w:spacing w:val="1"/>
                <w:sz w:val="24"/>
                <w:szCs w:val="24"/>
                <w:shd w:val="clear" w:color="auto" w:fill="FFFFFF"/>
              </w:rPr>
              <w:t>територіальної громади</w:t>
            </w:r>
          </w:p>
        </w:tc>
      </w:tr>
      <w:tr w:rsidR="00AC1BD6" w:rsidRPr="008124F1" w:rsidTr="00721B6B">
        <w:tc>
          <w:tcPr>
            <w:tcW w:w="4503" w:type="dxa"/>
          </w:tcPr>
          <w:p w:rsidR="00AC1BD6" w:rsidRPr="00832626" w:rsidRDefault="00AC1BD6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>Кількість видів послуг, які надаються замовником, од.</w:t>
            </w:r>
          </w:p>
        </w:tc>
        <w:tc>
          <w:tcPr>
            <w:tcW w:w="1417" w:type="dxa"/>
          </w:tcPr>
          <w:p w:rsidR="00AC1BD6" w:rsidRPr="009170D4" w:rsidRDefault="009170D4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276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F55F0E" w:rsidRPr="008124F1" w:rsidTr="00721B6B">
        <w:tc>
          <w:tcPr>
            <w:tcW w:w="4503" w:type="dxa"/>
          </w:tcPr>
          <w:p w:rsidR="00F55F0E" w:rsidRPr="00832626" w:rsidRDefault="00F55F0E" w:rsidP="00257557">
            <w:pPr>
              <w:widowControl w:val="0"/>
              <w:ind w:right="23"/>
              <w:jc w:val="both"/>
              <w:rPr>
                <w:sz w:val="24"/>
                <w:szCs w:val="24"/>
              </w:rPr>
            </w:pPr>
            <w:r w:rsidRPr="00832626">
              <w:rPr>
                <w:sz w:val="24"/>
                <w:szCs w:val="24"/>
              </w:rPr>
              <w:t>Розмір надходжень ЗМКП "Бюро технічної  інвентаризації</w:t>
            </w:r>
            <w:r w:rsidRPr="00832626">
              <w:rPr>
                <w:spacing w:val="1"/>
                <w:sz w:val="24"/>
                <w:szCs w:val="24"/>
              </w:rPr>
              <w:t xml:space="preserve">" </w:t>
            </w:r>
            <w:r w:rsidRPr="00832626">
              <w:rPr>
                <w:sz w:val="24"/>
                <w:szCs w:val="24"/>
              </w:rPr>
              <w:t>за надані послуги,  грн.</w:t>
            </w:r>
          </w:p>
        </w:tc>
        <w:tc>
          <w:tcPr>
            <w:tcW w:w="1417" w:type="dxa"/>
          </w:tcPr>
          <w:p w:rsidR="00F55F0E" w:rsidRPr="00F55F0E" w:rsidRDefault="00F55F0E" w:rsidP="00257557">
            <w:pPr>
              <w:widowControl w:val="0"/>
              <w:ind w:left="-252" w:right="23" w:firstLine="252"/>
              <w:jc w:val="center"/>
              <w:rPr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  <w:r w:rsidRPr="00F55F0E">
              <w:rPr>
                <w:sz w:val="24"/>
                <w:szCs w:val="24"/>
                <w:bdr w:val="none" w:sz="0" w:space="0" w:color="auto" w:frame="1"/>
              </w:rPr>
              <w:t>183558,00</w:t>
            </w:r>
          </w:p>
        </w:tc>
        <w:tc>
          <w:tcPr>
            <w:tcW w:w="1337" w:type="dxa"/>
          </w:tcPr>
          <w:p w:rsidR="00F55F0E" w:rsidRDefault="00F55F0E" w:rsidP="00F55F0E">
            <w:pPr>
              <w:jc w:val="center"/>
            </w:pPr>
            <w:r w:rsidRPr="00CC2A77">
              <w:rPr>
                <w:sz w:val="24"/>
                <w:szCs w:val="24"/>
                <w:bdr w:val="none" w:sz="0" w:space="0" w:color="auto" w:frame="1"/>
              </w:rPr>
              <w:t>183558,00</w:t>
            </w:r>
          </w:p>
        </w:tc>
        <w:tc>
          <w:tcPr>
            <w:tcW w:w="1337" w:type="dxa"/>
          </w:tcPr>
          <w:p w:rsidR="00F55F0E" w:rsidRDefault="00F55F0E" w:rsidP="00F55F0E">
            <w:pPr>
              <w:jc w:val="center"/>
            </w:pPr>
            <w:r w:rsidRPr="00CC2A77">
              <w:rPr>
                <w:sz w:val="24"/>
                <w:szCs w:val="24"/>
                <w:bdr w:val="none" w:sz="0" w:space="0" w:color="auto" w:frame="1"/>
              </w:rPr>
              <w:t>183558,00</w:t>
            </w:r>
          </w:p>
        </w:tc>
        <w:tc>
          <w:tcPr>
            <w:tcW w:w="1276" w:type="dxa"/>
          </w:tcPr>
          <w:p w:rsidR="00F55F0E" w:rsidRDefault="00F55F0E" w:rsidP="00F55F0E">
            <w:pPr>
              <w:jc w:val="center"/>
            </w:pPr>
            <w:r w:rsidRPr="00CC2A77">
              <w:rPr>
                <w:sz w:val="24"/>
                <w:szCs w:val="24"/>
                <w:bdr w:val="none" w:sz="0" w:space="0" w:color="auto" w:frame="1"/>
              </w:rPr>
              <w:t>183558,00</w:t>
            </w:r>
          </w:p>
        </w:tc>
      </w:tr>
      <w:tr w:rsidR="00AC1BD6" w:rsidRPr="008124F1" w:rsidTr="00721B6B">
        <w:tc>
          <w:tcPr>
            <w:tcW w:w="4503" w:type="dxa"/>
          </w:tcPr>
          <w:p w:rsidR="00AC1BD6" w:rsidRPr="00832626" w:rsidRDefault="00257557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>Обсяг наданих послуг, кількість виконаних замовлень, од.</w:t>
            </w:r>
          </w:p>
        </w:tc>
        <w:tc>
          <w:tcPr>
            <w:tcW w:w="1417" w:type="dxa"/>
          </w:tcPr>
          <w:p w:rsidR="00AC1BD6" w:rsidRPr="00790719" w:rsidRDefault="00F55F0E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558</w:t>
            </w:r>
          </w:p>
        </w:tc>
        <w:tc>
          <w:tcPr>
            <w:tcW w:w="1337" w:type="dxa"/>
          </w:tcPr>
          <w:p w:rsidR="00AC1BD6" w:rsidRPr="00790719" w:rsidRDefault="00F55F0E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558</w:t>
            </w:r>
          </w:p>
        </w:tc>
        <w:tc>
          <w:tcPr>
            <w:tcW w:w="1337" w:type="dxa"/>
          </w:tcPr>
          <w:p w:rsidR="00AC1BD6" w:rsidRPr="00790719" w:rsidRDefault="00F55F0E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558</w:t>
            </w:r>
          </w:p>
        </w:tc>
        <w:tc>
          <w:tcPr>
            <w:tcW w:w="1276" w:type="dxa"/>
          </w:tcPr>
          <w:p w:rsidR="00AC1BD6" w:rsidRPr="00790719" w:rsidRDefault="00F55F0E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558</w:t>
            </w:r>
          </w:p>
        </w:tc>
      </w:tr>
    </w:tbl>
    <w:p w:rsidR="009425F5" w:rsidRPr="001977C8" w:rsidRDefault="009425F5" w:rsidP="00827064">
      <w:pPr>
        <w:jc w:val="both"/>
        <w:rPr>
          <w:b/>
          <w:sz w:val="24"/>
          <w:szCs w:val="24"/>
        </w:rPr>
      </w:pPr>
    </w:p>
    <w:p w:rsidR="00F5734D" w:rsidRPr="001977C8" w:rsidRDefault="00936F23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936F23" w:rsidRPr="001977C8" w:rsidRDefault="00936F23" w:rsidP="00827064">
      <w:pPr>
        <w:widowControl w:val="0"/>
        <w:ind w:right="20" w:firstLine="72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lastRenderedPageBreak/>
        <w:t>Передбачається проведення базового та повторного відстеження результативності рішення.</w:t>
      </w:r>
    </w:p>
    <w:p w:rsidR="00936F23" w:rsidRPr="001977C8" w:rsidRDefault="00936F23" w:rsidP="00827064">
      <w:pPr>
        <w:widowControl w:val="0"/>
        <w:ind w:right="20" w:firstLine="72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Базове відстеження результативності регуляторного акта буде здійснюватись до дати набрання чинності цього акта шляхом збору пропозицій і зауважень та їх аналізу.</w:t>
      </w:r>
    </w:p>
    <w:p w:rsidR="0026228B" w:rsidRPr="001977C8" w:rsidRDefault="00936F23" w:rsidP="00827064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Повторне </w:t>
      </w:r>
      <w:r w:rsidR="00785CD8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та періодичне </w:t>
      </w: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відстеження регуляторного акта буде здійснено відповідн</w:t>
      </w:r>
      <w:r w:rsidR="00E83E46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о до вимог Закону України "</w:t>
      </w: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Про засади державної регуляторної політики у </w:t>
      </w:r>
      <w:r w:rsidR="00E83E46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сфері господарської діяльності"</w:t>
      </w:r>
      <w:r w:rsidR="0026228B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.</w:t>
      </w:r>
    </w:p>
    <w:p w:rsidR="008F790C" w:rsidRPr="001977C8" w:rsidRDefault="000867E7" w:rsidP="008F790C">
      <w:pPr>
        <w:jc w:val="both"/>
        <w:rPr>
          <w:b/>
          <w:sz w:val="24"/>
          <w:szCs w:val="24"/>
        </w:rPr>
      </w:pPr>
      <w:r w:rsidRPr="0084093F">
        <w:rPr>
          <w:b/>
          <w:spacing w:val="1"/>
          <w:sz w:val="24"/>
          <w:szCs w:val="24"/>
        </w:rPr>
        <w:t xml:space="preserve">Зауваження та пропозиції від </w:t>
      </w:r>
      <w:r>
        <w:rPr>
          <w:b/>
          <w:spacing w:val="1"/>
          <w:sz w:val="24"/>
          <w:szCs w:val="24"/>
        </w:rPr>
        <w:t>суб'єктів господарювання</w:t>
      </w:r>
      <w:r w:rsidRPr="0084093F">
        <w:rPr>
          <w:b/>
          <w:spacing w:val="1"/>
          <w:sz w:val="24"/>
          <w:szCs w:val="24"/>
        </w:rPr>
        <w:t xml:space="preserve"> приймаються в письмовому вигляді </w:t>
      </w:r>
      <w:r>
        <w:rPr>
          <w:b/>
          <w:spacing w:val="1"/>
          <w:sz w:val="24"/>
          <w:szCs w:val="24"/>
        </w:rPr>
        <w:t xml:space="preserve"> </w:t>
      </w:r>
      <w:r w:rsidRPr="0084093F">
        <w:rPr>
          <w:b/>
          <w:spacing w:val="1"/>
          <w:sz w:val="24"/>
          <w:szCs w:val="24"/>
        </w:rPr>
        <w:t xml:space="preserve">протягом місяця з </w:t>
      </w:r>
      <w:r>
        <w:rPr>
          <w:b/>
          <w:spacing w:val="1"/>
          <w:sz w:val="24"/>
          <w:szCs w:val="24"/>
        </w:rPr>
        <w:t>дня оприлюднення</w:t>
      </w:r>
      <w:r w:rsidRPr="0084093F">
        <w:rPr>
          <w:b/>
          <w:spacing w:val="1"/>
          <w:sz w:val="24"/>
          <w:szCs w:val="24"/>
        </w:rPr>
        <w:t xml:space="preserve"> проекту регуляторного акту </w:t>
      </w:r>
      <w:r w:rsidRPr="0084093F">
        <w:rPr>
          <w:b/>
          <w:sz w:val="24"/>
          <w:szCs w:val="24"/>
        </w:rPr>
        <w:t>за адресами:</w:t>
      </w:r>
      <w:r w:rsidR="004759EB" w:rsidRPr="001977C8">
        <w:rPr>
          <w:b/>
          <w:spacing w:val="1"/>
          <w:sz w:val="24"/>
          <w:szCs w:val="24"/>
        </w:rPr>
        <w:t xml:space="preserve">  м. </w:t>
      </w:r>
      <w:r w:rsidR="00936F23" w:rsidRPr="001977C8">
        <w:rPr>
          <w:b/>
          <w:spacing w:val="1"/>
          <w:sz w:val="24"/>
          <w:szCs w:val="24"/>
        </w:rPr>
        <w:t>Знам’янка,</w:t>
      </w:r>
      <w:r w:rsidR="008F790C" w:rsidRPr="001977C8">
        <w:rPr>
          <w:b/>
          <w:spacing w:val="1"/>
          <w:sz w:val="24"/>
          <w:szCs w:val="24"/>
        </w:rPr>
        <w:t xml:space="preserve"> вулиця Михайла Грушевського, 17</w:t>
      </w:r>
      <w:r w:rsidR="00093E0F" w:rsidRPr="001977C8">
        <w:rPr>
          <w:b/>
          <w:spacing w:val="1"/>
          <w:sz w:val="24"/>
          <w:szCs w:val="24"/>
        </w:rPr>
        <w:t>, каб.</w:t>
      </w:r>
      <w:r w:rsidR="008F790C" w:rsidRPr="001977C8">
        <w:rPr>
          <w:b/>
          <w:spacing w:val="1"/>
          <w:sz w:val="24"/>
          <w:szCs w:val="24"/>
        </w:rPr>
        <w:t>42</w:t>
      </w:r>
      <w:r w:rsidR="004759EB" w:rsidRPr="001977C8">
        <w:rPr>
          <w:b/>
          <w:spacing w:val="1"/>
          <w:sz w:val="24"/>
          <w:szCs w:val="24"/>
        </w:rPr>
        <w:t xml:space="preserve"> </w:t>
      </w:r>
      <w:r w:rsidR="005525B5">
        <w:rPr>
          <w:b/>
          <w:sz w:val="24"/>
          <w:szCs w:val="24"/>
        </w:rPr>
        <w:t>(телефон 7-46-56</w:t>
      </w:r>
      <w:r w:rsidR="008F790C" w:rsidRPr="001977C8">
        <w:rPr>
          <w:b/>
          <w:sz w:val="24"/>
          <w:szCs w:val="24"/>
        </w:rPr>
        <w:t xml:space="preserve">) та </w:t>
      </w:r>
      <w:r w:rsidR="004759EB" w:rsidRPr="001977C8">
        <w:rPr>
          <w:b/>
          <w:sz w:val="24"/>
          <w:szCs w:val="24"/>
        </w:rPr>
        <w:t xml:space="preserve">                    </w:t>
      </w:r>
      <w:r w:rsidR="008F790C" w:rsidRPr="001977C8">
        <w:rPr>
          <w:b/>
          <w:sz w:val="24"/>
          <w:szCs w:val="24"/>
        </w:rPr>
        <w:t xml:space="preserve">м. Знам’янка, вул. Михайла Грушевського,19 , каб.12 (телефон </w:t>
      </w:r>
      <w:r w:rsidR="005525B5">
        <w:rPr>
          <w:b/>
          <w:sz w:val="24"/>
          <w:szCs w:val="24"/>
        </w:rPr>
        <w:t>7-45-25</w:t>
      </w:r>
      <w:r w:rsidR="008F790C" w:rsidRPr="001977C8">
        <w:rPr>
          <w:b/>
          <w:sz w:val="24"/>
          <w:szCs w:val="24"/>
        </w:rPr>
        <w:t>).</w:t>
      </w:r>
    </w:p>
    <w:p w:rsidR="00F53885" w:rsidRDefault="00F53885" w:rsidP="008F790C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0867E7" w:rsidRPr="001977C8" w:rsidRDefault="000867E7" w:rsidP="008F790C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003CEB" w:rsidRPr="001977C8" w:rsidRDefault="00736EB9" w:rsidP="00774E7C">
      <w:pPr>
        <w:widowControl w:val="0"/>
        <w:ind w:right="20"/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Начальник</w:t>
      </w:r>
      <w:r w:rsidR="00003CEB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відділу економічного</w:t>
      </w:r>
    </w:p>
    <w:p w:rsidR="00003CEB" w:rsidRPr="001977C8" w:rsidRDefault="00003CEB" w:rsidP="00774E7C">
      <w:pPr>
        <w:widowControl w:val="0"/>
        <w:ind w:right="20"/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розвитку, промисловості, інфраструктури </w:t>
      </w:r>
    </w:p>
    <w:p w:rsidR="001234B3" w:rsidRDefault="00003CEB" w:rsidP="00774E7C">
      <w:pPr>
        <w:widowControl w:val="0"/>
        <w:ind w:right="20"/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та торгівлі                                                                                 </w:t>
      </w:r>
      <w:r w:rsidR="00736EB9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                  </w:t>
      </w:r>
      <w:r w:rsidR="003E23D2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Інна КУЗІНА</w:t>
      </w:r>
    </w:p>
    <w:sectPr w:rsidR="001234B3" w:rsidSect="00B537F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604FA7"/>
    <w:multiLevelType w:val="hybridMultilevel"/>
    <w:tmpl w:val="F69C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E54C8"/>
    <w:multiLevelType w:val="hybridMultilevel"/>
    <w:tmpl w:val="498849F0"/>
    <w:lvl w:ilvl="0" w:tplc="C22822FA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1E05"/>
    <w:rsid w:val="000016BB"/>
    <w:rsid w:val="00001A0E"/>
    <w:rsid w:val="00001A5B"/>
    <w:rsid w:val="00002E2E"/>
    <w:rsid w:val="00003336"/>
    <w:rsid w:val="00003CEB"/>
    <w:rsid w:val="00003F96"/>
    <w:rsid w:val="0000596F"/>
    <w:rsid w:val="0000649A"/>
    <w:rsid w:val="0000680C"/>
    <w:rsid w:val="00013768"/>
    <w:rsid w:val="00016074"/>
    <w:rsid w:val="00025F7C"/>
    <w:rsid w:val="00027D78"/>
    <w:rsid w:val="00027E05"/>
    <w:rsid w:val="00032A07"/>
    <w:rsid w:val="000479CA"/>
    <w:rsid w:val="00050E1A"/>
    <w:rsid w:val="00051327"/>
    <w:rsid w:val="0005275F"/>
    <w:rsid w:val="00057286"/>
    <w:rsid w:val="00057F2D"/>
    <w:rsid w:val="0006188E"/>
    <w:rsid w:val="00062C4E"/>
    <w:rsid w:val="00065608"/>
    <w:rsid w:val="00065B4D"/>
    <w:rsid w:val="0006613B"/>
    <w:rsid w:val="00066185"/>
    <w:rsid w:val="00066D18"/>
    <w:rsid w:val="0007437D"/>
    <w:rsid w:val="00081001"/>
    <w:rsid w:val="00081731"/>
    <w:rsid w:val="00085425"/>
    <w:rsid w:val="000867E7"/>
    <w:rsid w:val="00086B4D"/>
    <w:rsid w:val="00087E41"/>
    <w:rsid w:val="00090F58"/>
    <w:rsid w:val="00093E0F"/>
    <w:rsid w:val="000A1015"/>
    <w:rsid w:val="000A2AFA"/>
    <w:rsid w:val="000A2E75"/>
    <w:rsid w:val="000A71D2"/>
    <w:rsid w:val="000B0A92"/>
    <w:rsid w:val="000B5830"/>
    <w:rsid w:val="000B70B0"/>
    <w:rsid w:val="000C1C1C"/>
    <w:rsid w:val="000C43D1"/>
    <w:rsid w:val="000C54AF"/>
    <w:rsid w:val="000C576E"/>
    <w:rsid w:val="000C656A"/>
    <w:rsid w:val="000D10CC"/>
    <w:rsid w:val="000D29A6"/>
    <w:rsid w:val="000D3495"/>
    <w:rsid w:val="000D385C"/>
    <w:rsid w:val="000D4D51"/>
    <w:rsid w:val="000D4F6A"/>
    <w:rsid w:val="000E0449"/>
    <w:rsid w:val="000E254D"/>
    <w:rsid w:val="000E2939"/>
    <w:rsid w:val="000F1F04"/>
    <w:rsid w:val="000F3597"/>
    <w:rsid w:val="000F43C7"/>
    <w:rsid w:val="000F463D"/>
    <w:rsid w:val="000F5954"/>
    <w:rsid w:val="000F6EA5"/>
    <w:rsid w:val="000F7FCA"/>
    <w:rsid w:val="00104BD1"/>
    <w:rsid w:val="00105DEF"/>
    <w:rsid w:val="0010663B"/>
    <w:rsid w:val="00110AF2"/>
    <w:rsid w:val="00110B74"/>
    <w:rsid w:val="0011707D"/>
    <w:rsid w:val="00120FC1"/>
    <w:rsid w:val="00122FD8"/>
    <w:rsid w:val="001234B3"/>
    <w:rsid w:val="00126AF2"/>
    <w:rsid w:val="00126B5F"/>
    <w:rsid w:val="00127009"/>
    <w:rsid w:val="00131FF4"/>
    <w:rsid w:val="00132C1E"/>
    <w:rsid w:val="00133498"/>
    <w:rsid w:val="001467B2"/>
    <w:rsid w:val="00152F8A"/>
    <w:rsid w:val="001560D7"/>
    <w:rsid w:val="0016044D"/>
    <w:rsid w:val="00161C75"/>
    <w:rsid w:val="00162502"/>
    <w:rsid w:val="0016304E"/>
    <w:rsid w:val="00164984"/>
    <w:rsid w:val="00166A83"/>
    <w:rsid w:val="001715B1"/>
    <w:rsid w:val="00173AE7"/>
    <w:rsid w:val="00176526"/>
    <w:rsid w:val="00182DD6"/>
    <w:rsid w:val="001839FF"/>
    <w:rsid w:val="001914E1"/>
    <w:rsid w:val="0019179A"/>
    <w:rsid w:val="00194916"/>
    <w:rsid w:val="001977C8"/>
    <w:rsid w:val="001A1932"/>
    <w:rsid w:val="001A1C98"/>
    <w:rsid w:val="001A4655"/>
    <w:rsid w:val="001A555A"/>
    <w:rsid w:val="001B1DD4"/>
    <w:rsid w:val="001B64B4"/>
    <w:rsid w:val="001B775B"/>
    <w:rsid w:val="001C4848"/>
    <w:rsid w:val="001D2011"/>
    <w:rsid w:val="001D45AF"/>
    <w:rsid w:val="001D7C3E"/>
    <w:rsid w:val="001E047B"/>
    <w:rsid w:val="001E175D"/>
    <w:rsid w:val="001E1F17"/>
    <w:rsid w:val="001E73C0"/>
    <w:rsid w:val="001F3909"/>
    <w:rsid w:val="001F3ACF"/>
    <w:rsid w:val="001F5E9B"/>
    <w:rsid w:val="001F7A96"/>
    <w:rsid w:val="002005A5"/>
    <w:rsid w:val="00201EDE"/>
    <w:rsid w:val="002062CC"/>
    <w:rsid w:val="00210EEF"/>
    <w:rsid w:val="00213935"/>
    <w:rsid w:val="00214F53"/>
    <w:rsid w:val="0021568F"/>
    <w:rsid w:val="002222CD"/>
    <w:rsid w:val="002225D5"/>
    <w:rsid w:val="00226CF5"/>
    <w:rsid w:val="00227507"/>
    <w:rsid w:val="00227BCC"/>
    <w:rsid w:val="0023315C"/>
    <w:rsid w:val="00233BDD"/>
    <w:rsid w:val="00240CFF"/>
    <w:rsid w:val="00240EAE"/>
    <w:rsid w:val="00241DA9"/>
    <w:rsid w:val="00242DAB"/>
    <w:rsid w:val="00246BC8"/>
    <w:rsid w:val="002470DF"/>
    <w:rsid w:val="0025684A"/>
    <w:rsid w:val="00256F85"/>
    <w:rsid w:val="00257557"/>
    <w:rsid w:val="00261C18"/>
    <w:rsid w:val="0026228B"/>
    <w:rsid w:val="002631B3"/>
    <w:rsid w:val="00264183"/>
    <w:rsid w:val="00266A57"/>
    <w:rsid w:val="002673BD"/>
    <w:rsid w:val="00272C21"/>
    <w:rsid w:val="00273B4C"/>
    <w:rsid w:val="00281EFA"/>
    <w:rsid w:val="002826A2"/>
    <w:rsid w:val="002837C0"/>
    <w:rsid w:val="00284BA6"/>
    <w:rsid w:val="00285684"/>
    <w:rsid w:val="00285BAE"/>
    <w:rsid w:val="00290848"/>
    <w:rsid w:val="0029557D"/>
    <w:rsid w:val="002A0BD6"/>
    <w:rsid w:val="002A3A9B"/>
    <w:rsid w:val="002A4E23"/>
    <w:rsid w:val="002A5FA7"/>
    <w:rsid w:val="002A6630"/>
    <w:rsid w:val="002B1753"/>
    <w:rsid w:val="002B4B46"/>
    <w:rsid w:val="002B5083"/>
    <w:rsid w:val="002B6841"/>
    <w:rsid w:val="002C17AA"/>
    <w:rsid w:val="002C2089"/>
    <w:rsid w:val="002C2C8D"/>
    <w:rsid w:val="002C5061"/>
    <w:rsid w:val="002C688E"/>
    <w:rsid w:val="002C6958"/>
    <w:rsid w:val="002C7B51"/>
    <w:rsid w:val="002D2F4B"/>
    <w:rsid w:val="002D596C"/>
    <w:rsid w:val="002D6AAA"/>
    <w:rsid w:val="002D7534"/>
    <w:rsid w:val="002E02B5"/>
    <w:rsid w:val="002E1059"/>
    <w:rsid w:val="002E4187"/>
    <w:rsid w:val="002F179E"/>
    <w:rsid w:val="002F4879"/>
    <w:rsid w:val="002F7DBE"/>
    <w:rsid w:val="00301A3E"/>
    <w:rsid w:val="0031028E"/>
    <w:rsid w:val="00323751"/>
    <w:rsid w:val="00327A0A"/>
    <w:rsid w:val="00333AEA"/>
    <w:rsid w:val="00334594"/>
    <w:rsid w:val="00334AD0"/>
    <w:rsid w:val="00351E4F"/>
    <w:rsid w:val="00352AE4"/>
    <w:rsid w:val="00360473"/>
    <w:rsid w:val="00361733"/>
    <w:rsid w:val="00361FA5"/>
    <w:rsid w:val="0036284F"/>
    <w:rsid w:val="00362A60"/>
    <w:rsid w:val="00372101"/>
    <w:rsid w:val="00375C35"/>
    <w:rsid w:val="00380D7C"/>
    <w:rsid w:val="00391D8E"/>
    <w:rsid w:val="00392ED4"/>
    <w:rsid w:val="0039493C"/>
    <w:rsid w:val="0039505A"/>
    <w:rsid w:val="00395F42"/>
    <w:rsid w:val="00396AE2"/>
    <w:rsid w:val="003A1117"/>
    <w:rsid w:val="003A40C9"/>
    <w:rsid w:val="003A648E"/>
    <w:rsid w:val="003A7668"/>
    <w:rsid w:val="003A77CD"/>
    <w:rsid w:val="003B0647"/>
    <w:rsid w:val="003B0C34"/>
    <w:rsid w:val="003B3B96"/>
    <w:rsid w:val="003C30D7"/>
    <w:rsid w:val="003C331B"/>
    <w:rsid w:val="003C4FDA"/>
    <w:rsid w:val="003C604F"/>
    <w:rsid w:val="003C6D7A"/>
    <w:rsid w:val="003C750F"/>
    <w:rsid w:val="003C7552"/>
    <w:rsid w:val="003D3302"/>
    <w:rsid w:val="003D35BD"/>
    <w:rsid w:val="003D5530"/>
    <w:rsid w:val="003D5663"/>
    <w:rsid w:val="003E07B6"/>
    <w:rsid w:val="003E10B8"/>
    <w:rsid w:val="003E23D2"/>
    <w:rsid w:val="003E7F7C"/>
    <w:rsid w:val="003F2351"/>
    <w:rsid w:val="003F256E"/>
    <w:rsid w:val="003F37F3"/>
    <w:rsid w:val="003F43EB"/>
    <w:rsid w:val="003F5453"/>
    <w:rsid w:val="004051A1"/>
    <w:rsid w:val="004059DC"/>
    <w:rsid w:val="004071FB"/>
    <w:rsid w:val="004100BE"/>
    <w:rsid w:val="0041117E"/>
    <w:rsid w:val="00412D6F"/>
    <w:rsid w:val="00415789"/>
    <w:rsid w:val="00415F60"/>
    <w:rsid w:val="004175B6"/>
    <w:rsid w:val="00424540"/>
    <w:rsid w:val="00424564"/>
    <w:rsid w:val="00427262"/>
    <w:rsid w:val="00433EF9"/>
    <w:rsid w:val="00441711"/>
    <w:rsid w:val="00441FC0"/>
    <w:rsid w:val="0044363C"/>
    <w:rsid w:val="00444896"/>
    <w:rsid w:val="00447854"/>
    <w:rsid w:val="0045430D"/>
    <w:rsid w:val="00456004"/>
    <w:rsid w:val="004607E0"/>
    <w:rsid w:val="004616E9"/>
    <w:rsid w:val="00462FCC"/>
    <w:rsid w:val="00466C9C"/>
    <w:rsid w:val="00466F34"/>
    <w:rsid w:val="004759EB"/>
    <w:rsid w:val="00475F9A"/>
    <w:rsid w:val="004768AF"/>
    <w:rsid w:val="004775A8"/>
    <w:rsid w:val="00482ABA"/>
    <w:rsid w:val="00485162"/>
    <w:rsid w:val="00491487"/>
    <w:rsid w:val="00491A17"/>
    <w:rsid w:val="00493894"/>
    <w:rsid w:val="0049455B"/>
    <w:rsid w:val="004A4AE6"/>
    <w:rsid w:val="004B590B"/>
    <w:rsid w:val="004B5A8C"/>
    <w:rsid w:val="004B6C90"/>
    <w:rsid w:val="004B7957"/>
    <w:rsid w:val="004C27D0"/>
    <w:rsid w:val="004C37DC"/>
    <w:rsid w:val="004C7A24"/>
    <w:rsid w:val="004C7B3E"/>
    <w:rsid w:val="004D3BA2"/>
    <w:rsid w:val="004D66AE"/>
    <w:rsid w:val="004E4A74"/>
    <w:rsid w:val="004E74A1"/>
    <w:rsid w:val="004F3786"/>
    <w:rsid w:val="004F5733"/>
    <w:rsid w:val="004F6AAE"/>
    <w:rsid w:val="004F7334"/>
    <w:rsid w:val="0050031B"/>
    <w:rsid w:val="00504135"/>
    <w:rsid w:val="005050E6"/>
    <w:rsid w:val="00510C21"/>
    <w:rsid w:val="0052076B"/>
    <w:rsid w:val="00537762"/>
    <w:rsid w:val="00537FBD"/>
    <w:rsid w:val="00542042"/>
    <w:rsid w:val="0054446F"/>
    <w:rsid w:val="0054600A"/>
    <w:rsid w:val="00550868"/>
    <w:rsid w:val="005525B5"/>
    <w:rsid w:val="00556D2B"/>
    <w:rsid w:val="00556E8F"/>
    <w:rsid w:val="00557718"/>
    <w:rsid w:val="005601C2"/>
    <w:rsid w:val="00561460"/>
    <w:rsid w:val="005666A3"/>
    <w:rsid w:val="0057227A"/>
    <w:rsid w:val="00577889"/>
    <w:rsid w:val="005808DA"/>
    <w:rsid w:val="00581F8D"/>
    <w:rsid w:val="005828ED"/>
    <w:rsid w:val="005837AF"/>
    <w:rsid w:val="005843F5"/>
    <w:rsid w:val="00587E24"/>
    <w:rsid w:val="005A12A6"/>
    <w:rsid w:val="005A33FE"/>
    <w:rsid w:val="005B7130"/>
    <w:rsid w:val="005B77C8"/>
    <w:rsid w:val="005C2DDB"/>
    <w:rsid w:val="005D2A5D"/>
    <w:rsid w:val="005D4559"/>
    <w:rsid w:val="005D54CE"/>
    <w:rsid w:val="005D75D0"/>
    <w:rsid w:val="005E00EC"/>
    <w:rsid w:val="005E1429"/>
    <w:rsid w:val="005E3B5D"/>
    <w:rsid w:val="005E45DE"/>
    <w:rsid w:val="005E6C43"/>
    <w:rsid w:val="005E7D93"/>
    <w:rsid w:val="005F2B8C"/>
    <w:rsid w:val="005F3AC0"/>
    <w:rsid w:val="005F7DC8"/>
    <w:rsid w:val="005F7F69"/>
    <w:rsid w:val="00601EF3"/>
    <w:rsid w:val="00606AD2"/>
    <w:rsid w:val="00611C91"/>
    <w:rsid w:val="0061249D"/>
    <w:rsid w:val="00615BAC"/>
    <w:rsid w:val="00616CC2"/>
    <w:rsid w:val="00616F80"/>
    <w:rsid w:val="00616F96"/>
    <w:rsid w:val="00622BB6"/>
    <w:rsid w:val="0062338B"/>
    <w:rsid w:val="00623D57"/>
    <w:rsid w:val="006324D5"/>
    <w:rsid w:val="00644A15"/>
    <w:rsid w:val="006505B5"/>
    <w:rsid w:val="00652010"/>
    <w:rsid w:val="0065393F"/>
    <w:rsid w:val="00657F91"/>
    <w:rsid w:val="0066476F"/>
    <w:rsid w:val="00673110"/>
    <w:rsid w:val="00675441"/>
    <w:rsid w:val="0067561D"/>
    <w:rsid w:val="006773EE"/>
    <w:rsid w:val="00677EEE"/>
    <w:rsid w:val="00680004"/>
    <w:rsid w:val="00685C98"/>
    <w:rsid w:val="006874FA"/>
    <w:rsid w:val="00695CF9"/>
    <w:rsid w:val="006A3AFF"/>
    <w:rsid w:val="006B2439"/>
    <w:rsid w:val="006B4BA3"/>
    <w:rsid w:val="006B64A0"/>
    <w:rsid w:val="006C0A9D"/>
    <w:rsid w:val="006C7C44"/>
    <w:rsid w:val="006D74BB"/>
    <w:rsid w:val="006E08A5"/>
    <w:rsid w:val="006E3955"/>
    <w:rsid w:val="006E3B09"/>
    <w:rsid w:val="006E75C7"/>
    <w:rsid w:val="006E7923"/>
    <w:rsid w:val="006E79EB"/>
    <w:rsid w:val="006F1319"/>
    <w:rsid w:val="00700CE7"/>
    <w:rsid w:val="00701005"/>
    <w:rsid w:val="007168FF"/>
    <w:rsid w:val="00720003"/>
    <w:rsid w:val="0072097E"/>
    <w:rsid w:val="00721B6B"/>
    <w:rsid w:val="00727DED"/>
    <w:rsid w:val="00731A64"/>
    <w:rsid w:val="00732158"/>
    <w:rsid w:val="0073469F"/>
    <w:rsid w:val="00734858"/>
    <w:rsid w:val="007356FD"/>
    <w:rsid w:val="00736EB9"/>
    <w:rsid w:val="00740925"/>
    <w:rsid w:val="00742A70"/>
    <w:rsid w:val="0074401D"/>
    <w:rsid w:val="00745EB7"/>
    <w:rsid w:val="00751E63"/>
    <w:rsid w:val="00755EF1"/>
    <w:rsid w:val="007579EB"/>
    <w:rsid w:val="00757AA0"/>
    <w:rsid w:val="00760B63"/>
    <w:rsid w:val="007611E0"/>
    <w:rsid w:val="0076256C"/>
    <w:rsid w:val="00764098"/>
    <w:rsid w:val="00764919"/>
    <w:rsid w:val="00773D55"/>
    <w:rsid w:val="00774E7C"/>
    <w:rsid w:val="007766F3"/>
    <w:rsid w:val="00781B01"/>
    <w:rsid w:val="007822B5"/>
    <w:rsid w:val="007859C4"/>
    <w:rsid w:val="00785CD8"/>
    <w:rsid w:val="00790069"/>
    <w:rsid w:val="00790719"/>
    <w:rsid w:val="007907C1"/>
    <w:rsid w:val="00791796"/>
    <w:rsid w:val="00792275"/>
    <w:rsid w:val="007937E1"/>
    <w:rsid w:val="007A0439"/>
    <w:rsid w:val="007B149A"/>
    <w:rsid w:val="007B3C40"/>
    <w:rsid w:val="007B7801"/>
    <w:rsid w:val="007B79F9"/>
    <w:rsid w:val="007C2240"/>
    <w:rsid w:val="007C5083"/>
    <w:rsid w:val="007C6FCE"/>
    <w:rsid w:val="007D1CC0"/>
    <w:rsid w:val="007D40EB"/>
    <w:rsid w:val="007E0317"/>
    <w:rsid w:val="007E46D3"/>
    <w:rsid w:val="007E7829"/>
    <w:rsid w:val="007E7EFF"/>
    <w:rsid w:val="007F3E01"/>
    <w:rsid w:val="008012C6"/>
    <w:rsid w:val="008022D2"/>
    <w:rsid w:val="008024A4"/>
    <w:rsid w:val="00802FFA"/>
    <w:rsid w:val="008102FB"/>
    <w:rsid w:val="00810344"/>
    <w:rsid w:val="00810922"/>
    <w:rsid w:val="00816577"/>
    <w:rsid w:val="00820EC2"/>
    <w:rsid w:val="00821CBE"/>
    <w:rsid w:val="008225FA"/>
    <w:rsid w:val="0082653B"/>
    <w:rsid w:val="00827064"/>
    <w:rsid w:val="00832626"/>
    <w:rsid w:val="00833662"/>
    <w:rsid w:val="0083431E"/>
    <w:rsid w:val="00836144"/>
    <w:rsid w:val="00837DD9"/>
    <w:rsid w:val="00847AA3"/>
    <w:rsid w:val="00851081"/>
    <w:rsid w:val="00865917"/>
    <w:rsid w:val="008662BF"/>
    <w:rsid w:val="0087065B"/>
    <w:rsid w:val="008719DE"/>
    <w:rsid w:val="0087690E"/>
    <w:rsid w:val="00876B89"/>
    <w:rsid w:val="00881DDF"/>
    <w:rsid w:val="00883103"/>
    <w:rsid w:val="0088522B"/>
    <w:rsid w:val="00895849"/>
    <w:rsid w:val="008966CC"/>
    <w:rsid w:val="008A27D6"/>
    <w:rsid w:val="008A4F91"/>
    <w:rsid w:val="008A660E"/>
    <w:rsid w:val="008B01C2"/>
    <w:rsid w:val="008B15AD"/>
    <w:rsid w:val="008B1F34"/>
    <w:rsid w:val="008B1FDA"/>
    <w:rsid w:val="008C0709"/>
    <w:rsid w:val="008C176A"/>
    <w:rsid w:val="008C1E69"/>
    <w:rsid w:val="008C2AF9"/>
    <w:rsid w:val="008D6ACB"/>
    <w:rsid w:val="008E18F2"/>
    <w:rsid w:val="008E19EC"/>
    <w:rsid w:val="008E2E4D"/>
    <w:rsid w:val="008E7A54"/>
    <w:rsid w:val="008F417A"/>
    <w:rsid w:val="008F7274"/>
    <w:rsid w:val="008F790C"/>
    <w:rsid w:val="00904C4B"/>
    <w:rsid w:val="00910007"/>
    <w:rsid w:val="00910AB2"/>
    <w:rsid w:val="00911060"/>
    <w:rsid w:val="009118B7"/>
    <w:rsid w:val="00913618"/>
    <w:rsid w:val="00916583"/>
    <w:rsid w:val="009170D4"/>
    <w:rsid w:val="009231BC"/>
    <w:rsid w:val="00925A42"/>
    <w:rsid w:val="00927BBB"/>
    <w:rsid w:val="00930BAE"/>
    <w:rsid w:val="00934216"/>
    <w:rsid w:val="009369E2"/>
    <w:rsid w:val="00936F23"/>
    <w:rsid w:val="009425F5"/>
    <w:rsid w:val="00945A7F"/>
    <w:rsid w:val="0095576F"/>
    <w:rsid w:val="009559B1"/>
    <w:rsid w:val="009638D6"/>
    <w:rsid w:val="00971DF8"/>
    <w:rsid w:val="00981E79"/>
    <w:rsid w:val="0098221E"/>
    <w:rsid w:val="009910ED"/>
    <w:rsid w:val="00993F0E"/>
    <w:rsid w:val="009A1E2C"/>
    <w:rsid w:val="009A2BFC"/>
    <w:rsid w:val="009A36A5"/>
    <w:rsid w:val="009A42B7"/>
    <w:rsid w:val="009A451C"/>
    <w:rsid w:val="009A6CA4"/>
    <w:rsid w:val="009A6CFB"/>
    <w:rsid w:val="009A7F75"/>
    <w:rsid w:val="009B1AA3"/>
    <w:rsid w:val="009B24D8"/>
    <w:rsid w:val="009B49AA"/>
    <w:rsid w:val="009C14C0"/>
    <w:rsid w:val="009C3947"/>
    <w:rsid w:val="009C5686"/>
    <w:rsid w:val="009C7876"/>
    <w:rsid w:val="009D237C"/>
    <w:rsid w:val="009D3DEC"/>
    <w:rsid w:val="009D40EF"/>
    <w:rsid w:val="009E1229"/>
    <w:rsid w:val="009E2A64"/>
    <w:rsid w:val="009F50C0"/>
    <w:rsid w:val="009F50E2"/>
    <w:rsid w:val="00A00EC1"/>
    <w:rsid w:val="00A031F8"/>
    <w:rsid w:val="00A12217"/>
    <w:rsid w:val="00A12332"/>
    <w:rsid w:val="00A2028A"/>
    <w:rsid w:val="00A24D05"/>
    <w:rsid w:val="00A36FF1"/>
    <w:rsid w:val="00A40F0B"/>
    <w:rsid w:val="00A43B9A"/>
    <w:rsid w:val="00A519FD"/>
    <w:rsid w:val="00A51FC4"/>
    <w:rsid w:val="00A55D87"/>
    <w:rsid w:val="00A622F4"/>
    <w:rsid w:val="00A72FD6"/>
    <w:rsid w:val="00A73FDE"/>
    <w:rsid w:val="00A764DB"/>
    <w:rsid w:val="00A81D08"/>
    <w:rsid w:val="00A90E06"/>
    <w:rsid w:val="00A91A3F"/>
    <w:rsid w:val="00AA2EFB"/>
    <w:rsid w:val="00AA40FD"/>
    <w:rsid w:val="00AA534F"/>
    <w:rsid w:val="00AA5821"/>
    <w:rsid w:val="00AA78EE"/>
    <w:rsid w:val="00AC1254"/>
    <w:rsid w:val="00AC16D4"/>
    <w:rsid w:val="00AC1BD6"/>
    <w:rsid w:val="00AC20CD"/>
    <w:rsid w:val="00AC2502"/>
    <w:rsid w:val="00AC2C92"/>
    <w:rsid w:val="00AC4AD3"/>
    <w:rsid w:val="00AC64A1"/>
    <w:rsid w:val="00AD1299"/>
    <w:rsid w:val="00AD2471"/>
    <w:rsid w:val="00AD32F4"/>
    <w:rsid w:val="00AD7D38"/>
    <w:rsid w:val="00AE072A"/>
    <w:rsid w:val="00AE0B1C"/>
    <w:rsid w:val="00AE137B"/>
    <w:rsid w:val="00AE42DD"/>
    <w:rsid w:val="00AE53C5"/>
    <w:rsid w:val="00AE5760"/>
    <w:rsid w:val="00AE6615"/>
    <w:rsid w:val="00AF4CB1"/>
    <w:rsid w:val="00AF5122"/>
    <w:rsid w:val="00B020D1"/>
    <w:rsid w:val="00B0297A"/>
    <w:rsid w:val="00B07406"/>
    <w:rsid w:val="00B10494"/>
    <w:rsid w:val="00B10545"/>
    <w:rsid w:val="00B123FB"/>
    <w:rsid w:val="00B14AD1"/>
    <w:rsid w:val="00B159ED"/>
    <w:rsid w:val="00B2042A"/>
    <w:rsid w:val="00B20891"/>
    <w:rsid w:val="00B2354D"/>
    <w:rsid w:val="00B35BAC"/>
    <w:rsid w:val="00B35EAA"/>
    <w:rsid w:val="00B410CD"/>
    <w:rsid w:val="00B419E6"/>
    <w:rsid w:val="00B4659D"/>
    <w:rsid w:val="00B47898"/>
    <w:rsid w:val="00B52EFB"/>
    <w:rsid w:val="00B537F0"/>
    <w:rsid w:val="00B6013A"/>
    <w:rsid w:val="00B62649"/>
    <w:rsid w:val="00B6670D"/>
    <w:rsid w:val="00B832E3"/>
    <w:rsid w:val="00B85D4B"/>
    <w:rsid w:val="00B869B9"/>
    <w:rsid w:val="00B90483"/>
    <w:rsid w:val="00B92944"/>
    <w:rsid w:val="00BB07F7"/>
    <w:rsid w:val="00BB23BC"/>
    <w:rsid w:val="00BB3141"/>
    <w:rsid w:val="00BB5A5A"/>
    <w:rsid w:val="00BB6562"/>
    <w:rsid w:val="00BB6DF1"/>
    <w:rsid w:val="00BB7452"/>
    <w:rsid w:val="00BC19C7"/>
    <w:rsid w:val="00BC2CFC"/>
    <w:rsid w:val="00BC37F4"/>
    <w:rsid w:val="00BC3E0D"/>
    <w:rsid w:val="00BC7FB5"/>
    <w:rsid w:val="00BD02E5"/>
    <w:rsid w:val="00BD51FB"/>
    <w:rsid w:val="00BE5392"/>
    <w:rsid w:val="00BE61A7"/>
    <w:rsid w:val="00BF0E63"/>
    <w:rsid w:val="00BF2B56"/>
    <w:rsid w:val="00BF582C"/>
    <w:rsid w:val="00BF7A00"/>
    <w:rsid w:val="00C00D46"/>
    <w:rsid w:val="00C038E3"/>
    <w:rsid w:val="00C10518"/>
    <w:rsid w:val="00C20B43"/>
    <w:rsid w:val="00C2145A"/>
    <w:rsid w:val="00C278C2"/>
    <w:rsid w:val="00C3009A"/>
    <w:rsid w:val="00C30414"/>
    <w:rsid w:val="00C304B2"/>
    <w:rsid w:val="00C31157"/>
    <w:rsid w:val="00C31F04"/>
    <w:rsid w:val="00C35DA5"/>
    <w:rsid w:val="00C42F17"/>
    <w:rsid w:val="00C44316"/>
    <w:rsid w:val="00C4456E"/>
    <w:rsid w:val="00C453E9"/>
    <w:rsid w:val="00C46BDC"/>
    <w:rsid w:val="00C53218"/>
    <w:rsid w:val="00C537F2"/>
    <w:rsid w:val="00C624B3"/>
    <w:rsid w:val="00C638A7"/>
    <w:rsid w:val="00C64D15"/>
    <w:rsid w:val="00C731C8"/>
    <w:rsid w:val="00C74F81"/>
    <w:rsid w:val="00C76505"/>
    <w:rsid w:val="00C765E6"/>
    <w:rsid w:val="00C778F6"/>
    <w:rsid w:val="00C82B82"/>
    <w:rsid w:val="00C82FBD"/>
    <w:rsid w:val="00C8487A"/>
    <w:rsid w:val="00C85FEA"/>
    <w:rsid w:val="00CA5948"/>
    <w:rsid w:val="00CB166C"/>
    <w:rsid w:val="00CB2B34"/>
    <w:rsid w:val="00CB3A78"/>
    <w:rsid w:val="00CB6CB5"/>
    <w:rsid w:val="00CC0D5C"/>
    <w:rsid w:val="00CC2159"/>
    <w:rsid w:val="00CC3C1A"/>
    <w:rsid w:val="00CD3D91"/>
    <w:rsid w:val="00CD6C33"/>
    <w:rsid w:val="00CE266B"/>
    <w:rsid w:val="00CE2FE0"/>
    <w:rsid w:val="00CE3830"/>
    <w:rsid w:val="00CE4FDF"/>
    <w:rsid w:val="00CE5F74"/>
    <w:rsid w:val="00CF0C5D"/>
    <w:rsid w:val="00CF16A7"/>
    <w:rsid w:val="00CF1D15"/>
    <w:rsid w:val="00CF60B2"/>
    <w:rsid w:val="00CF762B"/>
    <w:rsid w:val="00D01CCD"/>
    <w:rsid w:val="00D07023"/>
    <w:rsid w:val="00D11746"/>
    <w:rsid w:val="00D13400"/>
    <w:rsid w:val="00D14762"/>
    <w:rsid w:val="00D164D0"/>
    <w:rsid w:val="00D17DA6"/>
    <w:rsid w:val="00D201E0"/>
    <w:rsid w:val="00D20A4E"/>
    <w:rsid w:val="00D21C7F"/>
    <w:rsid w:val="00D23944"/>
    <w:rsid w:val="00D303FE"/>
    <w:rsid w:val="00D33AA6"/>
    <w:rsid w:val="00D34868"/>
    <w:rsid w:val="00D35411"/>
    <w:rsid w:val="00D3543C"/>
    <w:rsid w:val="00D37406"/>
    <w:rsid w:val="00D50EF9"/>
    <w:rsid w:val="00D51E05"/>
    <w:rsid w:val="00D52388"/>
    <w:rsid w:val="00D55D9E"/>
    <w:rsid w:val="00D60090"/>
    <w:rsid w:val="00D70E62"/>
    <w:rsid w:val="00D776EA"/>
    <w:rsid w:val="00D855DC"/>
    <w:rsid w:val="00D909AC"/>
    <w:rsid w:val="00D95F89"/>
    <w:rsid w:val="00DA34B6"/>
    <w:rsid w:val="00DA7244"/>
    <w:rsid w:val="00DB5A3C"/>
    <w:rsid w:val="00DC00A5"/>
    <w:rsid w:val="00DC0D89"/>
    <w:rsid w:val="00DC11D0"/>
    <w:rsid w:val="00DC518D"/>
    <w:rsid w:val="00DC5EA1"/>
    <w:rsid w:val="00DD0E12"/>
    <w:rsid w:val="00DD3254"/>
    <w:rsid w:val="00DE100E"/>
    <w:rsid w:val="00DE14F4"/>
    <w:rsid w:val="00DE32C8"/>
    <w:rsid w:val="00DE6D63"/>
    <w:rsid w:val="00DE7355"/>
    <w:rsid w:val="00DF0DCE"/>
    <w:rsid w:val="00DF1C4C"/>
    <w:rsid w:val="00E011F7"/>
    <w:rsid w:val="00E021EB"/>
    <w:rsid w:val="00E02FF9"/>
    <w:rsid w:val="00E125E0"/>
    <w:rsid w:val="00E153EC"/>
    <w:rsid w:val="00E22ACC"/>
    <w:rsid w:val="00E32728"/>
    <w:rsid w:val="00E331F9"/>
    <w:rsid w:val="00E33D95"/>
    <w:rsid w:val="00E3715E"/>
    <w:rsid w:val="00E37EBB"/>
    <w:rsid w:val="00E40D10"/>
    <w:rsid w:val="00E43242"/>
    <w:rsid w:val="00E543A9"/>
    <w:rsid w:val="00E57E25"/>
    <w:rsid w:val="00E613E4"/>
    <w:rsid w:val="00E61989"/>
    <w:rsid w:val="00E67896"/>
    <w:rsid w:val="00E708EE"/>
    <w:rsid w:val="00E722FF"/>
    <w:rsid w:val="00E75272"/>
    <w:rsid w:val="00E755A7"/>
    <w:rsid w:val="00E82C61"/>
    <w:rsid w:val="00E83E46"/>
    <w:rsid w:val="00E84070"/>
    <w:rsid w:val="00E901A4"/>
    <w:rsid w:val="00E937C9"/>
    <w:rsid w:val="00EA2E26"/>
    <w:rsid w:val="00EB5351"/>
    <w:rsid w:val="00EB560E"/>
    <w:rsid w:val="00EB7809"/>
    <w:rsid w:val="00EC2965"/>
    <w:rsid w:val="00EC3D86"/>
    <w:rsid w:val="00EC4DAF"/>
    <w:rsid w:val="00EC7F58"/>
    <w:rsid w:val="00ED0610"/>
    <w:rsid w:val="00ED37C8"/>
    <w:rsid w:val="00ED5C5F"/>
    <w:rsid w:val="00EE374A"/>
    <w:rsid w:val="00EE4FC5"/>
    <w:rsid w:val="00EF2148"/>
    <w:rsid w:val="00EF34D4"/>
    <w:rsid w:val="00EF6381"/>
    <w:rsid w:val="00EF7014"/>
    <w:rsid w:val="00F02C1B"/>
    <w:rsid w:val="00F043BA"/>
    <w:rsid w:val="00F140C6"/>
    <w:rsid w:val="00F145BC"/>
    <w:rsid w:val="00F25A8F"/>
    <w:rsid w:val="00F302F0"/>
    <w:rsid w:val="00F324FB"/>
    <w:rsid w:val="00F335DA"/>
    <w:rsid w:val="00F37AD8"/>
    <w:rsid w:val="00F42A4A"/>
    <w:rsid w:val="00F43E94"/>
    <w:rsid w:val="00F51C05"/>
    <w:rsid w:val="00F53885"/>
    <w:rsid w:val="00F5442C"/>
    <w:rsid w:val="00F55F0E"/>
    <w:rsid w:val="00F5734D"/>
    <w:rsid w:val="00F61852"/>
    <w:rsid w:val="00F61CD2"/>
    <w:rsid w:val="00F62D32"/>
    <w:rsid w:val="00F62E92"/>
    <w:rsid w:val="00F72556"/>
    <w:rsid w:val="00F74061"/>
    <w:rsid w:val="00F755A9"/>
    <w:rsid w:val="00F75958"/>
    <w:rsid w:val="00F837ED"/>
    <w:rsid w:val="00F84223"/>
    <w:rsid w:val="00F844E1"/>
    <w:rsid w:val="00F85940"/>
    <w:rsid w:val="00F95127"/>
    <w:rsid w:val="00F95754"/>
    <w:rsid w:val="00FA14C2"/>
    <w:rsid w:val="00FA1618"/>
    <w:rsid w:val="00FA2C73"/>
    <w:rsid w:val="00FA3556"/>
    <w:rsid w:val="00FA439C"/>
    <w:rsid w:val="00FA5BA3"/>
    <w:rsid w:val="00FA67D9"/>
    <w:rsid w:val="00FB06F5"/>
    <w:rsid w:val="00FB0C3D"/>
    <w:rsid w:val="00FB1469"/>
    <w:rsid w:val="00FB29DB"/>
    <w:rsid w:val="00FB5271"/>
    <w:rsid w:val="00FB6866"/>
    <w:rsid w:val="00FC1711"/>
    <w:rsid w:val="00FC5369"/>
    <w:rsid w:val="00FC5EF5"/>
    <w:rsid w:val="00FD080B"/>
    <w:rsid w:val="00FD7CD0"/>
    <w:rsid w:val="00FE0296"/>
    <w:rsid w:val="00FE226E"/>
    <w:rsid w:val="00FE242B"/>
    <w:rsid w:val="00FE2856"/>
    <w:rsid w:val="00FE3EDF"/>
    <w:rsid w:val="00FE4A26"/>
    <w:rsid w:val="00FE588A"/>
    <w:rsid w:val="00FF1FFD"/>
    <w:rsid w:val="00FF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439"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rPr>
      <w:sz w:val="24"/>
    </w:rPr>
  </w:style>
  <w:style w:type="paragraph" w:styleId="a6">
    <w:name w:val="Subtitle"/>
    <w:basedOn w:val="a"/>
    <w:qFormat/>
    <w:pPr>
      <w:jc w:val="center"/>
    </w:pPr>
    <w:rPr>
      <w:b/>
      <w:iCs/>
      <w:sz w:val="24"/>
    </w:rPr>
  </w:style>
  <w:style w:type="character" w:customStyle="1" w:styleId="BodyTextChar">
    <w:name w:val="Body Text Char"/>
    <w:uiPriority w:val="99"/>
    <w:locked/>
    <w:rsid w:val="004775A8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4775A8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775A8"/>
    <w:pPr>
      <w:widowControl w:val="0"/>
      <w:shd w:val="clear" w:color="auto" w:fill="FFFFFF"/>
      <w:spacing w:before="1020" w:after="60" w:line="240" w:lineRule="atLeast"/>
      <w:jc w:val="both"/>
    </w:pPr>
    <w:rPr>
      <w:b/>
      <w:bCs/>
      <w:sz w:val="25"/>
      <w:szCs w:val="25"/>
      <w:lang w:val="ru-RU"/>
    </w:rPr>
  </w:style>
  <w:style w:type="paragraph" w:styleId="a7">
    <w:name w:val="List Paragraph"/>
    <w:basedOn w:val="a"/>
    <w:uiPriority w:val="34"/>
    <w:qFormat/>
    <w:rsid w:val="00477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8">
    <w:name w:val="Table Grid"/>
    <w:basedOn w:val="a1"/>
    <w:rsid w:val="0031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nhideWhenUsed/>
    <w:rsid w:val="00003336"/>
    <w:rPr>
      <w:color w:val="0000FF"/>
      <w:u w:val="single"/>
    </w:rPr>
  </w:style>
  <w:style w:type="paragraph" w:customStyle="1" w:styleId="rvps12">
    <w:name w:val="rvps12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2826A2"/>
  </w:style>
  <w:style w:type="character" w:customStyle="1" w:styleId="apple-converted-space">
    <w:name w:val="apple-converted-space"/>
    <w:rsid w:val="002826A2"/>
  </w:style>
  <w:style w:type="paragraph" w:customStyle="1" w:styleId="rvps14">
    <w:name w:val="rvps14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E937C9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-1">
    <w:name w:val="Light Grid Accent 1"/>
    <w:basedOn w:val="a1"/>
    <w:uiPriority w:val="62"/>
    <w:rsid w:val="00173AE7"/>
    <w:rPr>
      <w:rFonts w:ascii="Calibri" w:eastAsia="Calibri" w:hAnsi="Calibri"/>
      <w:sz w:val="22"/>
      <w:szCs w:val="22"/>
      <w:lang w:val="uk-UA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a">
    <w:name w:val="Balloon Text"/>
    <w:basedOn w:val="a"/>
    <w:link w:val="ab"/>
    <w:rsid w:val="0008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85425"/>
    <w:rPr>
      <w:rFonts w:ascii="Tahoma" w:hAnsi="Tahoma" w:cs="Tahoma"/>
      <w:sz w:val="16"/>
      <w:szCs w:val="16"/>
      <w:lang w:val="uk-UA"/>
    </w:rPr>
  </w:style>
  <w:style w:type="paragraph" w:styleId="30">
    <w:name w:val="Body Text 3"/>
    <w:basedOn w:val="a"/>
    <w:rsid w:val="00B35BAC"/>
    <w:pPr>
      <w:spacing w:after="120"/>
    </w:pPr>
    <w:rPr>
      <w:sz w:val="16"/>
      <w:szCs w:val="16"/>
    </w:rPr>
  </w:style>
  <w:style w:type="paragraph" w:customStyle="1" w:styleId="10">
    <w:name w:val="Название объекта1"/>
    <w:basedOn w:val="a"/>
    <w:next w:val="a"/>
    <w:rsid w:val="00B35BAC"/>
    <w:pPr>
      <w:suppressAutoHyphens/>
      <w:overflowPunct w:val="0"/>
      <w:autoSpaceDE w:val="0"/>
      <w:jc w:val="center"/>
    </w:pPr>
    <w:rPr>
      <w:rFonts w:eastAsia="Batang"/>
      <w:sz w:val="31"/>
      <w:szCs w:val="29"/>
      <w:lang w:eastAsia="zh-CN"/>
    </w:rPr>
  </w:style>
  <w:style w:type="paragraph" w:customStyle="1" w:styleId="ListParagraph">
    <w:name w:val="List Paragraph"/>
    <w:basedOn w:val="a"/>
    <w:rsid w:val="002005A5"/>
    <w:pPr>
      <w:ind w:left="720"/>
      <w:contextualSpacing/>
    </w:pPr>
    <w:rPr>
      <w:rFonts w:eastAsia="Calibri"/>
      <w:sz w:val="24"/>
      <w:szCs w:val="24"/>
      <w:lang w:val="ru-RU"/>
    </w:rPr>
  </w:style>
  <w:style w:type="character" w:customStyle="1" w:styleId="23">
    <w:name w:val="2"/>
    <w:basedOn w:val="a0"/>
    <w:rsid w:val="00F14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3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ПК</cp:lastModifiedBy>
  <cp:revision>2</cp:revision>
  <cp:lastPrinted>2020-02-17T14:34:00Z</cp:lastPrinted>
  <dcterms:created xsi:type="dcterms:W3CDTF">2021-01-25T07:15:00Z</dcterms:created>
  <dcterms:modified xsi:type="dcterms:W3CDTF">2021-01-25T07:15:00Z</dcterms:modified>
</cp:coreProperties>
</file>