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D51" w:rsidRPr="00EE57A6" w:rsidRDefault="00051D51" w:rsidP="00051D51">
      <w:pPr>
        <w:ind w:firstLine="720"/>
        <w:jc w:val="center"/>
        <w:rPr>
          <w:b/>
          <w:color w:val="000000"/>
          <w:sz w:val="28"/>
          <w:szCs w:val="28"/>
        </w:rPr>
      </w:pPr>
      <w:r w:rsidRPr="00EE57A6">
        <w:rPr>
          <w:b/>
          <w:color w:val="000000"/>
          <w:sz w:val="28"/>
          <w:szCs w:val="28"/>
        </w:rPr>
        <w:t>Інформація про виконання бюджету Звенигородської міської територіальної громади за 9 місяців 2023 року</w:t>
      </w:r>
    </w:p>
    <w:p w:rsidR="00051D51" w:rsidRPr="00EE57A6" w:rsidRDefault="00051D51" w:rsidP="00051D51">
      <w:pPr>
        <w:shd w:val="clear" w:color="auto" w:fill="FFFFFF"/>
        <w:spacing w:line="317" w:lineRule="exact"/>
        <w:ind w:left="5" w:right="48"/>
        <w:jc w:val="center"/>
        <w:rPr>
          <w:b/>
          <w:color w:val="000000"/>
          <w:sz w:val="28"/>
          <w:szCs w:val="28"/>
        </w:rPr>
      </w:pPr>
      <w:r w:rsidRPr="00EE57A6">
        <w:rPr>
          <w:b/>
          <w:color w:val="000000"/>
          <w:sz w:val="28"/>
          <w:szCs w:val="28"/>
        </w:rPr>
        <w:t xml:space="preserve"> </w:t>
      </w:r>
    </w:p>
    <w:p w:rsidR="00051D51" w:rsidRPr="00EE57A6" w:rsidRDefault="00051D51" w:rsidP="00051D51">
      <w:pPr>
        <w:shd w:val="clear" w:color="auto" w:fill="FFFFFF"/>
        <w:spacing w:line="317" w:lineRule="exact"/>
        <w:ind w:left="5" w:right="48"/>
        <w:jc w:val="center"/>
        <w:rPr>
          <w:b/>
          <w:color w:val="000000"/>
          <w:sz w:val="28"/>
          <w:szCs w:val="28"/>
        </w:rPr>
      </w:pPr>
      <w:r w:rsidRPr="00EE57A6">
        <w:rPr>
          <w:b/>
          <w:color w:val="000000"/>
          <w:sz w:val="28"/>
          <w:szCs w:val="28"/>
        </w:rPr>
        <w:t>ДОХОДИ</w:t>
      </w:r>
    </w:p>
    <w:p w:rsidR="00051D51" w:rsidRPr="00EE57A6" w:rsidRDefault="00051D51" w:rsidP="00051D51">
      <w:pPr>
        <w:shd w:val="clear" w:color="auto" w:fill="FFFFFF"/>
        <w:spacing w:line="317" w:lineRule="exact"/>
        <w:ind w:left="5" w:right="48"/>
        <w:jc w:val="center"/>
        <w:rPr>
          <w:b/>
          <w:color w:val="000000"/>
          <w:sz w:val="28"/>
          <w:szCs w:val="28"/>
        </w:rPr>
      </w:pPr>
    </w:p>
    <w:p w:rsidR="00051D51" w:rsidRPr="00EE57A6" w:rsidRDefault="00051D51" w:rsidP="00051D51">
      <w:pPr>
        <w:ind w:firstLine="720"/>
        <w:jc w:val="both"/>
        <w:rPr>
          <w:color w:val="000000"/>
          <w:sz w:val="28"/>
          <w:szCs w:val="28"/>
        </w:rPr>
      </w:pPr>
      <w:r w:rsidRPr="00EE57A6">
        <w:rPr>
          <w:color w:val="000000"/>
          <w:sz w:val="28"/>
          <w:szCs w:val="28"/>
        </w:rPr>
        <w:t>За 9 місяців  2023 року до бюджету Звенигородської міської територіальної громади з врахуванням міжбюджетних трансфертів надійшло доходів в сумі 248120,2 тис.грн,  що становить 90,7 відс. до уточненого плану на 2023 рік.</w:t>
      </w:r>
    </w:p>
    <w:p w:rsidR="00051D51" w:rsidRPr="00EE57A6" w:rsidRDefault="00051D51" w:rsidP="00051D51">
      <w:pPr>
        <w:ind w:firstLine="720"/>
        <w:jc w:val="both"/>
        <w:rPr>
          <w:color w:val="000000"/>
          <w:sz w:val="28"/>
          <w:szCs w:val="28"/>
        </w:rPr>
      </w:pPr>
    </w:p>
    <w:p w:rsidR="00051D51" w:rsidRPr="00EE57A6" w:rsidRDefault="00051D51" w:rsidP="00051D51">
      <w:pPr>
        <w:ind w:firstLine="720"/>
        <w:jc w:val="both"/>
        <w:rPr>
          <w:color w:val="000000"/>
          <w:sz w:val="28"/>
          <w:szCs w:val="28"/>
        </w:rPr>
      </w:pPr>
      <w:r w:rsidRPr="00EE57A6">
        <w:rPr>
          <w:color w:val="000000"/>
          <w:sz w:val="28"/>
          <w:szCs w:val="28"/>
        </w:rPr>
        <w:t xml:space="preserve">Власних доходів (без міжбюджетних трансфертів) – 194130,3 тис.грн, що становить 95,1 відс. до уточненого розпису на 2023 рік. В тому числі по загальному фонду – 177856,8 тис.грн, що становить 109,5 відс. </w:t>
      </w:r>
      <w:r w:rsidRPr="00EE57A6">
        <w:rPr>
          <w:noProof/>
          <w:color w:val="000000"/>
          <w:sz w:val="28"/>
          <w:szCs w:val="28"/>
        </w:rPr>
        <w:t xml:space="preserve">до плану на 9 місяців   2023 року </w:t>
      </w:r>
      <w:r w:rsidRPr="00EE57A6">
        <w:rPr>
          <w:color w:val="000000"/>
          <w:sz w:val="28"/>
          <w:szCs w:val="28"/>
        </w:rPr>
        <w:t>(+15394,1 тис.грн) та 91,0 відс. до уточненого річного плану</w:t>
      </w:r>
      <w:r w:rsidRPr="00EE57A6">
        <w:rPr>
          <w:noProof/>
          <w:color w:val="000000"/>
          <w:sz w:val="28"/>
          <w:szCs w:val="28"/>
        </w:rPr>
        <w:t>.</w:t>
      </w:r>
      <w:r w:rsidRPr="00EE57A6">
        <w:rPr>
          <w:color w:val="000000"/>
          <w:sz w:val="28"/>
          <w:szCs w:val="28"/>
        </w:rPr>
        <w:t xml:space="preserve"> По спеціальному фонду – 16273,5 тис.грн, що в 1,9 рази більше до уточненого плану </w:t>
      </w:r>
      <w:r w:rsidRPr="00EE57A6">
        <w:rPr>
          <w:noProof/>
          <w:color w:val="000000"/>
          <w:sz w:val="28"/>
          <w:szCs w:val="28"/>
        </w:rPr>
        <w:t>на 2023 р</w:t>
      </w:r>
      <w:r w:rsidRPr="00EE57A6">
        <w:rPr>
          <w:color w:val="000000"/>
          <w:sz w:val="28"/>
          <w:szCs w:val="28"/>
        </w:rPr>
        <w:t>ік, з них 6679,6 тис.грн складають надходження від продажу землі.</w:t>
      </w:r>
    </w:p>
    <w:p w:rsidR="00051D51" w:rsidRPr="00EE57A6" w:rsidRDefault="00051D51" w:rsidP="00051D51">
      <w:pPr>
        <w:ind w:firstLine="720"/>
        <w:jc w:val="both"/>
        <w:rPr>
          <w:b/>
          <w:color w:val="000000"/>
          <w:sz w:val="28"/>
          <w:szCs w:val="28"/>
        </w:rPr>
      </w:pPr>
    </w:p>
    <w:p w:rsidR="00051D51" w:rsidRPr="00EE57A6" w:rsidRDefault="00051D51" w:rsidP="00051D51">
      <w:pPr>
        <w:ind w:firstLine="709"/>
        <w:jc w:val="both"/>
        <w:rPr>
          <w:noProof/>
          <w:color w:val="000000"/>
          <w:sz w:val="28"/>
          <w:szCs w:val="28"/>
        </w:rPr>
      </w:pPr>
      <w:r w:rsidRPr="00EE57A6">
        <w:rPr>
          <w:noProof/>
          <w:color w:val="000000"/>
          <w:sz w:val="28"/>
          <w:szCs w:val="28"/>
        </w:rPr>
        <w:t>Планові показники загального фонду, з врахуванням змін, на 9 місяців  2023 року  виконані по всіх основних видах власних доходів: по податку на доходи з фізичних осіб та податку на прибуток в цілому – на 108,9 відс. (+9716,8 тис.грн), по податку на майно в цілому – на 118,4 відс. (+3646,5 тис.грн),  по внутрішніх податках на товари та послуги (акцизний податок) в цілому – на 125,5 відс. (+1724,6 тис.грн),  по єдиному податку в цілому – на 100,4 відс. (+72,1 тис.грн), по платі за надання адміністративних послуг – на 100,6 відс. (+13,2тис.грн),  по надходженнях від орендної плати за користування цілісним майновим комплексом та іншим державним майном  на 118,8 відс. (+40,2 тис.грн), по державному миту на 125,2 відс. (+19,8 тис.грн)  по рентній платі та платі за використання інших природних ресурсів в цілому – на 100,6 відс. (+11,6 тис.грн). (</w:t>
      </w:r>
      <w:r w:rsidRPr="00EE57A6">
        <w:rPr>
          <w:b/>
          <w:noProof/>
          <w:color w:val="000000"/>
          <w:sz w:val="28"/>
          <w:szCs w:val="28"/>
        </w:rPr>
        <w:t>Додаток 1)</w:t>
      </w:r>
      <w:r w:rsidRPr="00EE57A6">
        <w:rPr>
          <w:noProof/>
          <w:color w:val="000000"/>
          <w:sz w:val="28"/>
          <w:szCs w:val="28"/>
        </w:rPr>
        <w:t>.</w:t>
      </w:r>
    </w:p>
    <w:p w:rsidR="00051D51" w:rsidRPr="00EE57A6" w:rsidRDefault="00051D51" w:rsidP="00051D51">
      <w:pPr>
        <w:ind w:firstLine="709"/>
        <w:jc w:val="both"/>
        <w:rPr>
          <w:noProof/>
          <w:color w:val="000000"/>
          <w:sz w:val="28"/>
          <w:szCs w:val="28"/>
          <w:highlight w:val="yellow"/>
        </w:rPr>
      </w:pPr>
    </w:p>
    <w:p w:rsidR="00051D51" w:rsidRPr="00EE57A6" w:rsidRDefault="00051D51" w:rsidP="00051D51">
      <w:pPr>
        <w:ind w:firstLine="709"/>
        <w:jc w:val="both"/>
        <w:rPr>
          <w:color w:val="000000"/>
          <w:sz w:val="28"/>
          <w:szCs w:val="28"/>
        </w:rPr>
      </w:pPr>
      <w:r w:rsidRPr="00EE57A6">
        <w:rPr>
          <w:color w:val="000000"/>
          <w:sz w:val="28"/>
          <w:szCs w:val="28"/>
        </w:rPr>
        <w:t>За 9 місяців  в структурі доходів загального фонду 2023 року основними видами надходжень є: податок на доходи, податок на прибуток -  67,0 відс. від загального обсягу надходжень, або  119 227,4 тис.грн, єдиний податок в цілому 11,6 відс.,  або  20597,1 тис.грн,  податок на майно в цілому 13,2 відс., або 23461,5 тис.грн, з них плата за землю 10,1 відс., або 18021,7 тис.грн,  внутрішні податки на товари та послуги (акцизний податок) в цілому 4,8 відс., або 8486,6 тис.грн, рентна плата за спеціальне використання лісових ресурсів в цілому 1,1відс., або 1972,6 тис.грн,  плата за надання адміністративних послуг в цілому 1,3відс, або 2337,2 тис. грн. Всі інші доходи разом становлять 1,0 відс. надходжень, або  1774,4 тис.грн.</w:t>
      </w:r>
    </w:p>
    <w:p w:rsidR="00051D51" w:rsidRPr="00EE57A6" w:rsidRDefault="00051D51" w:rsidP="00051D51">
      <w:pPr>
        <w:jc w:val="center"/>
        <w:rPr>
          <w:color w:val="000000"/>
          <w:sz w:val="28"/>
          <w:szCs w:val="28"/>
          <w:highlight w:val="yellow"/>
        </w:rPr>
      </w:pPr>
      <w:r w:rsidRPr="00EB6E06">
        <w:rPr>
          <w:noProof/>
          <w:lang w:val="en-US" w:eastAsia="en-US"/>
        </w:rPr>
        <w:lastRenderedPageBreak/>
        <w:drawing>
          <wp:inline distT="0" distB="0" distL="0" distR="0" wp14:anchorId="6C4B9525" wp14:editId="2AA5AD52">
            <wp:extent cx="5833110" cy="3804285"/>
            <wp:effectExtent l="57150" t="57150" r="34290" b="24765"/>
            <wp:docPr id="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051D51" w:rsidRPr="00EE57A6" w:rsidRDefault="00051D51" w:rsidP="00051D51">
      <w:pPr>
        <w:ind w:firstLine="709"/>
        <w:jc w:val="both"/>
        <w:rPr>
          <w:color w:val="000000"/>
          <w:sz w:val="28"/>
          <w:szCs w:val="28"/>
          <w:highlight w:val="yellow"/>
        </w:rPr>
      </w:pPr>
    </w:p>
    <w:p w:rsidR="00051D51" w:rsidRPr="00EE57A6" w:rsidRDefault="00051D51" w:rsidP="00051D51">
      <w:pPr>
        <w:ind w:firstLine="709"/>
        <w:jc w:val="both"/>
        <w:rPr>
          <w:color w:val="000000"/>
          <w:sz w:val="28"/>
          <w:szCs w:val="28"/>
          <w:highlight w:val="yellow"/>
        </w:rPr>
      </w:pPr>
    </w:p>
    <w:p w:rsidR="00051D51" w:rsidRPr="00EE57A6" w:rsidRDefault="00051D51" w:rsidP="00051D51">
      <w:pPr>
        <w:ind w:firstLine="709"/>
        <w:jc w:val="both"/>
        <w:rPr>
          <w:color w:val="000000"/>
          <w:sz w:val="28"/>
          <w:szCs w:val="28"/>
        </w:rPr>
      </w:pPr>
      <w:r w:rsidRPr="00EE57A6">
        <w:rPr>
          <w:color w:val="000000"/>
          <w:sz w:val="28"/>
          <w:szCs w:val="28"/>
        </w:rPr>
        <w:t xml:space="preserve">Порівняно з відповідним періодом минулого року, надходження доходів загального фонду бюджету громади,  без міжбюджетних трансфертів, зросли на 21,2відс. (+31101,1 тис.грн). Зокрема, темп росту ПДФО складає 118,8 відс. (+18787,5 тис.грн), податок на майно в цілому в 1,5 рази (+8116,6 тис.грн) з них 3015,0 тис.грн </w:t>
      </w:r>
      <w:r w:rsidRPr="00EE57A6">
        <w:rPr>
          <w:noProof/>
          <w:color w:val="000000"/>
          <w:sz w:val="28"/>
          <w:szCs w:val="28"/>
        </w:rPr>
        <w:t>–</w:t>
      </w:r>
      <w:r w:rsidRPr="00EE57A6">
        <w:rPr>
          <w:color w:val="000000"/>
          <w:sz w:val="28"/>
          <w:szCs w:val="28"/>
        </w:rPr>
        <w:t xml:space="preserve"> надходження орендної плати згідно проведених земельних торгів договору оренди землі від 03.01.2023р. ПП «Дельта 2016», внутрішні податки на товари та послуги (акцизний податок)  в цілому в 1,8 рази (+3853,6 тис.грн), рентна плата та плата за використання інших природних ресурсів в цілому 90,4 відс. (-200,8тис.грн.), плата за надання адміністративних послуг  в цілому 95,1 відс. (-120,2тис.грн), державне мито в цілому в 1,8 рази (+45,3 тис.грн), інші надходження в цілому в 2,1 рази (+196,4 тис.грн), надходження від орендної плати за користування цілісним майновим комплексом та іншим майном, що перебуває в комунальній власності на 28,2відс. (+55,9 тис.грн).</w:t>
      </w: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ind w:firstLine="709"/>
        <w:jc w:val="both"/>
        <w:rPr>
          <w:color w:val="000000"/>
          <w:sz w:val="28"/>
          <w:szCs w:val="28"/>
        </w:rPr>
      </w:pPr>
    </w:p>
    <w:p w:rsidR="00051D51" w:rsidRPr="00EE57A6" w:rsidRDefault="00051D51" w:rsidP="00051D51">
      <w:pPr>
        <w:jc w:val="center"/>
        <w:rPr>
          <w:color w:val="000000"/>
          <w:sz w:val="28"/>
          <w:szCs w:val="28"/>
          <w:highlight w:val="yellow"/>
        </w:rPr>
      </w:pPr>
      <w:r w:rsidRPr="00EB6E06">
        <w:rPr>
          <w:noProof/>
          <w:lang w:val="en-US" w:eastAsia="en-US"/>
        </w:rPr>
        <w:drawing>
          <wp:inline distT="0" distB="0" distL="0" distR="0" wp14:anchorId="30F6E673" wp14:editId="0AF3A472">
            <wp:extent cx="6123305" cy="4500880"/>
            <wp:effectExtent l="0" t="0" r="0" b="0"/>
            <wp:docPr id="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051D51" w:rsidRPr="00EE57A6" w:rsidRDefault="00051D51" w:rsidP="00051D51">
      <w:pPr>
        <w:ind w:firstLine="709"/>
        <w:jc w:val="both"/>
        <w:rPr>
          <w:color w:val="000000"/>
          <w:sz w:val="28"/>
          <w:szCs w:val="28"/>
          <w:highlight w:val="yellow"/>
        </w:rPr>
      </w:pPr>
    </w:p>
    <w:p w:rsidR="00051D51" w:rsidRPr="00EE57A6" w:rsidRDefault="00051D51" w:rsidP="00051D51">
      <w:pPr>
        <w:ind w:firstLine="709"/>
        <w:jc w:val="both"/>
        <w:rPr>
          <w:color w:val="000000"/>
          <w:sz w:val="28"/>
          <w:szCs w:val="28"/>
          <w:highlight w:val="yellow"/>
        </w:rPr>
      </w:pPr>
    </w:p>
    <w:p w:rsidR="00051D51" w:rsidRPr="00EE57A6" w:rsidRDefault="00051D51" w:rsidP="00051D51">
      <w:pPr>
        <w:ind w:firstLine="709"/>
        <w:jc w:val="both"/>
        <w:rPr>
          <w:noProof/>
          <w:color w:val="000000"/>
          <w:sz w:val="28"/>
          <w:szCs w:val="28"/>
        </w:rPr>
      </w:pPr>
      <w:r w:rsidRPr="00EE57A6">
        <w:rPr>
          <w:color w:val="000000"/>
          <w:sz w:val="28"/>
          <w:szCs w:val="28"/>
        </w:rPr>
        <w:t>За 9 місяців  2023 року до спеціального фонду бюджету громади всього надійшло 16273,5 тис.грн, при уточненому річному плані 8540,2 тис.грн, рівень річного виконання становить 190,6 відс.</w:t>
      </w:r>
    </w:p>
    <w:p w:rsidR="00051D51" w:rsidRPr="00EE57A6" w:rsidRDefault="00051D51" w:rsidP="00051D51">
      <w:pPr>
        <w:pStyle w:val="a3"/>
        <w:tabs>
          <w:tab w:val="left" w:pos="0"/>
        </w:tabs>
        <w:ind w:firstLine="709"/>
        <w:rPr>
          <w:color w:val="000000"/>
        </w:rPr>
      </w:pPr>
      <w:r w:rsidRPr="00EE57A6">
        <w:rPr>
          <w:color w:val="000000"/>
        </w:rPr>
        <w:t>Основні надходження до спеціального фонду міського бюджету за звітній період склали:</w:t>
      </w:r>
    </w:p>
    <w:p w:rsidR="00051D51" w:rsidRPr="00EE57A6" w:rsidRDefault="00051D51" w:rsidP="00051D51">
      <w:pPr>
        <w:pStyle w:val="a3"/>
        <w:numPr>
          <w:ilvl w:val="0"/>
          <w:numId w:val="1"/>
        </w:numPr>
        <w:tabs>
          <w:tab w:val="clear" w:pos="720"/>
          <w:tab w:val="left" w:pos="0"/>
          <w:tab w:val="num" w:pos="360"/>
        </w:tabs>
        <w:suppressAutoHyphens/>
        <w:ind w:left="360"/>
        <w:jc w:val="both"/>
        <w:rPr>
          <w:color w:val="000000"/>
        </w:rPr>
      </w:pPr>
      <w:r w:rsidRPr="00EE57A6">
        <w:rPr>
          <w:color w:val="000000"/>
        </w:rPr>
        <w:t>7809,2 тис.грн, або 48,0 відс. інші джерела власних надходжень бюджетних установ  </w:t>
      </w:r>
      <w:r w:rsidRPr="00EE57A6">
        <w:rPr>
          <w:b/>
          <w:bCs/>
          <w:color w:val="000000"/>
          <w:lang w:eastAsia="uk-UA"/>
        </w:rPr>
        <w:t> </w:t>
      </w:r>
      <w:r w:rsidRPr="00EE57A6">
        <w:rPr>
          <w:color w:val="000000"/>
        </w:rPr>
        <w:t xml:space="preserve"> в цілому;</w:t>
      </w:r>
    </w:p>
    <w:p w:rsidR="00051D51" w:rsidRPr="00EE57A6" w:rsidRDefault="00051D51" w:rsidP="00051D51">
      <w:pPr>
        <w:pStyle w:val="a3"/>
        <w:numPr>
          <w:ilvl w:val="0"/>
          <w:numId w:val="1"/>
        </w:numPr>
        <w:tabs>
          <w:tab w:val="clear" w:pos="720"/>
          <w:tab w:val="left" w:pos="0"/>
          <w:tab w:val="num" w:pos="360"/>
        </w:tabs>
        <w:suppressAutoHyphens/>
        <w:ind w:left="360"/>
        <w:jc w:val="both"/>
        <w:rPr>
          <w:color w:val="000000"/>
        </w:rPr>
      </w:pPr>
      <w:r w:rsidRPr="00EE57A6">
        <w:rPr>
          <w:color w:val="000000"/>
        </w:rPr>
        <w:t xml:space="preserve">6679,6 тис.грн, або 41,0 відс. </w:t>
      </w:r>
      <w:r w:rsidRPr="00EE57A6">
        <w:rPr>
          <w:bCs/>
          <w:color w:val="000000"/>
          <w:lang w:eastAsia="uk-UA"/>
        </w:rPr>
        <w:t>к</w:t>
      </w:r>
      <w:r w:rsidRPr="00EE57A6">
        <w:rPr>
          <w:color w:val="000000"/>
          <w:lang w:eastAsia="uk-UA"/>
        </w:rPr>
        <w:t>ошти від продажу земельних ділянок несільськогосподарського та сільськогосподарського призначення</w:t>
      </w:r>
      <w:r w:rsidRPr="00EE57A6">
        <w:rPr>
          <w:color w:val="000000"/>
        </w:rPr>
        <w:t>;</w:t>
      </w:r>
    </w:p>
    <w:p w:rsidR="00051D51" w:rsidRPr="00EE57A6" w:rsidRDefault="00051D51" w:rsidP="00051D51">
      <w:pPr>
        <w:pStyle w:val="a3"/>
        <w:numPr>
          <w:ilvl w:val="0"/>
          <w:numId w:val="1"/>
        </w:numPr>
        <w:tabs>
          <w:tab w:val="clear" w:pos="720"/>
          <w:tab w:val="left" w:pos="0"/>
          <w:tab w:val="num" w:pos="360"/>
        </w:tabs>
        <w:suppressAutoHyphens/>
        <w:ind w:left="360"/>
        <w:jc w:val="both"/>
        <w:rPr>
          <w:color w:val="000000"/>
        </w:rPr>
      </w:pPr>
      <w:r w:rsidRPr="00EE57A6">
        <w:rPr>
          <w:color w:val="000000"/>
        </w:rPr>
        <w:t>1528,3 тис.грн, або 9,4відс.</w:t>
      </w:r>
      <w:r w:rsidRPr="00EE57A6">
        <w:rPr>
          <w:b/>
          <w:bCs/>
          <w:color w:val="000000"/>
          <w:lang w:eastAsia="uk-UA"/>
        </w:rPr>
        <w:t xml:space="preserve"> </w:t>
      </w:r>
      <w:r w:rsidRPr="00EE57A6">
        <w:rPr>
          <w:bCs/>
          <w:color w:val="000000"/>
          <w:lang w:eastAsia="uk-UA"/>
        </w:rPr>
        <w:t>надходження від плати за послуги, що надаються бюджетними установами</w:t>
      </w:r>
      <w:r w:rsidRPr="00EE57A6">
        <w:rPr>
          <w:color w:val="000000"/>
        </w:rPr>
        <w:t>;</w:t>
      </w:r>
    </w:p>
    <w:p w:rsidR="00051D51" w:rsidRPr="00EE57A6" w:rsidRDefault="00051D51" w:rsidP="00051D51">
      <w:pPr>
        <w:pStyle w:val="a3"/>
        <w:numPr>
          <w:ilvl w:val="0"/>
          <w:numId w:val="1"/>
        </w:numPr>
        <w:tabs>
          <w:tab w:val="clear" w:pos="720"/>
          <w:tab w:val="left" w:pos="0"/>
          <w:tab w:val="num" w:pos="360"/>
        </w:tabs>
        <w:suppressAutoHyphens/>
        <w:ind w:left="360"/>
        <w:jc w:val="both"/>
        <w:rPr>
          <w:color w:val="000000"/>
        </w:rPr>
      </w:pPr>
      <w:r w:rsidRPr="00EE57A6">
        <w:rPr>
          <w:color w:val="000000"/>
        </w:rPr>
        <w:t>139,7 тис.грн, або 0,9 відс. 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p>
    <w:p w:rsidR="00051D51" w:rsidRPr="00EE57A6" w:rsidRDefault="00051D51" w:rsidP="00051D51">
      <w:pPr>
        <w:pStyle w:val="a3"/>
        <w:numPr>
          <w:ilvl w:val="0"/>
          <w:numId w:val="1"/>
        </w:numPr>
        <w:tabs>
          <w:tab w:val="clear" w:pos="720"/>
          <w:tab w:val="left" w:pos="0"/>
          <w:tab w:val="num" w:pos="360"/>
        </w:tabs>
        <w:suppressAutoHyphens/>
        <w:ind w:left="360"/>
        <w:jc w:val="both"/>
        <w:rPr>
          <w:color w:val="000000"/>
        </w:rPr>
      </w:pPr>
      <w:r w:rsidRPr="00EE57A6">
        <w:rPr>
          <w:color w:val="000000"/>
        </w:rPr>
        <w:t>110,3 тис.грн, або 0,7 відс. екологічний податок.</w:t>
      </w:r>
    </w:p>
    <w:p w:rsidR="00051D51" w:rsidRPr="00EE57A6" w:rsidRDefault="00051D51" w:rsidP="00051D51">
      <w:pPr>
        <w:jc w:val="both"/>
        <w:rPr>
          <w:noProof/>
          <w:color w:val="000000"/>
          <w:sz w:val="28"/>
          <w:szCs w:val="28"/>
          <w:highlight w:val="yellow"/>
        </w:rPr>
      </w:pPr>
      <w:r w:rsidRPr="00EB6E06">
        <w:rPr>
          <w:noProof/>
          <w:lang w:val="en-US" w:eastAsia="en-US"/>
        </w:rPr>
        <w:lastRenderedPageBreak/>
        <w:drawing>
          <wp:inline distT="0" distB="0" distL="0" distR="0" wp14:anchorId="3FF854A6" wp14:editId="34D436BA">
            <wp:extent cx="6045200" cy="4225925"/>
            <wp:effectExtent l="0" t="0" r="0" b="0"/>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51D51" w:rsidRPr="00EE57A6" w:rsidRDefault="00051D51" w:rsidP="00051D51">
      <w:pPr>
        <w:ind w:firstLine="720"/>
        <w:jc w:val="both"/>
        <w:rPr>
          <w:noProof/>
          <w:color w:val="000000"/>
          <w:sz w:val="28"/>
          <w:szCs w:val="28"/>
          <w:highlight w:val="yellow"/>
        </w:rPr>
      </w:pPr>
    </w:p>
    <w:p w:rsidR="00051D51" w:rsidRPr="00EE57A6" w:rsidRDefault="00051D51" w:rsidP="00051D51">
      <w:pPr>
        <w:jc w:val="both"/>
        <w:rPr>
          <w:noProof/>
          <w:color w:val="000000"/>
          <w:sz w:val="28"/>
          <w:szCs w:val="28"/>
          <w:highlight w:val="yellow"/>
        </w:rPr>
      </w:pPr>
      <w:r w:rsidRPr="00AA6F59">
        <w:rPr>
          <w:noProof/>
          <w:color w:val="000000"/>
          <w:sz w:val="28"/>
          <w:szCs w:val="28"/>
          <w:lang w:val="en-US" w:eastAsia="en-US"/>
        </w:rPr>
        <w:drawing>
          <wp:inline distT="0" distB="0" distL="0" distR="0" wp14:anchorId="4C444FEB" wp14:editId="73BAB5BF">
            <wp:extent cx="3076575" cy="2533650"/>
            <wp:effectExtent l="0" t="0" r="0" b="0"/>
            <wp:docPr id="4"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6575" cy="2533650"/>
                    </a:xfrm>
                    <a:prstGeom prst="rect">
                      <a:avLst/>
                    </a:prstGeom>
                    <a:noFill/>
                    <a:ln>
                      <a:noFill/>
                    </a:ln>
                  </pic:spPr>
                </pic:pic>
              </a:graphicData>
            </a:graphic>
          </wp:inline>
        </w:drawing>
      </w:r>
    </w:p>
    <w:p w:rsidR="00051D51" w:rsidRPr="00EE57A6" w:rsidRDefault="00051D51" w:rsidP="00051D51">
      <w:pPr>
        <w:jc w:val="both"/>
        <w:rPr>
          <w:noProof/>
          <w:color w:val="000000"/>
          <w:sz w:val="28"/>
          <w:szCs w:val="28"/>
          <w:highlight w:val="yellow"/>
        </w:rPr>
      </w:pPr>
      <w:r w:rsidRPr="00AA6F59">
        <w:rPr>
          <w:noProof/>
          <w:color w:val="000000"/>
          <w:sz w:val="28"/>
          <w:szCs w:val="28"/>
          <w:lang w:val="en-US" w:eastAsia="en-US"/>
        </w:rPr>
        <w:drawing>
          <wp:inline distT="0" distB="0" distL="0" distR="0" wp14:anchorId="5CDB563F" wp14:editId="6588A472">
            <wp:extent cx="3076575" cy="2409825"/>
            <wp:effectExtent l="0" t="0" r="0" b="0"/>
            <wp:docPr id="3"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76575" cy="2409825"/>
                    </a:xfrm>
                    <a:prstGeom prst="rect">
                      <a:avLst/>
                    </a:prstGeom>
                    <a:noFill/>
                    <a:ln>
                      <a:noFill/>
                    </a:ln>
                  </pic:spPr>
                </pic:pic>
              </a:graphicData>
            </a:graphic>
          </wp:inline>
        </w:drawing>
      </w:r>
    </w:p>
    <w:p w:rsidR="00051D51" w:rsidRPr="00EE57A6" w:rsidRDefault="00051D51" w:rsidP="00051D51">
      <w:pPr>
        <w:ind w:firstLine="720"/>
        <w:jc w:val="both"/>
        <w:rPr>
          <w:noProof/>
          <w:color w:val="000000"/>
          <w:sz w:val="28"/>
          <w:szCs w:val="28"/>
          <w:highlight w:val="yellow"/>
        </w:rPr>
      </w:pPr>
    </w:p>
    <w:p w:rsidR="00051D51" w:rsidRPr="00EE57A6" w:rsidRDefault="00051D51" w:rsidP="00051D51">
      <w:pPr>
        <w:ind w:firstLine="720"/>
        <w:jc w:val="both"/>
        <w:rPr>
          <w:noProof/>
          <w:color w:val="000000"/>
          <w:sz w:val="28"/>
          <w:szCs w:val="28"/>
          <w:highlight w:val="yellow"/>
        </w:rPr>
      </w:pPr>
    </w:p>
    <w:p w:rsidR="00051D51" w:rsidRPr="00EE57A6" w:rsidRDefault="00051D51" w:rsidP="00051D51">
      <w:pPr>
        <w:ind w:firstLine="709"/>
        <w:jc w:val="both"/>
        <w:rPr>
          <w:color w:val="000000"/>
          <w:sz w:val="28"/>
          <w:szCs w:val="28"/>
        </w:rPr>
      </w:pPr>
      <w:r w:rsidRPr="00EE57A6">
        <w:rPr>
          <w:color w:val="000000"/>
          <w:sz w:val="28"/>
          <w:szCs w:val="28"/>
        </w:rPr>
        <w:t xml:space="preserve">З початку року  </w:t>
      </w:r>
      <w:r w:rsidRPr="00EE57A6">
        <w:rPr>
          <w:noProof/>
          <w:color w:val="000000"/>
          <w:sz w:val="28"/>
          <w:szCs w:val="28"/>
        </w:rPr>
        <w:t xml:space="preserve">стаом </w:t>
      </w:r>
      <w:r w:rsidRPr="00EE57A6">
        <w:rPr>
          <w:color w:val="000000"/>
          <w:sz w:val="28"/>
          <w:szCs w:val="28"/>
        </w:rPr>
        <w:t>на 01.10.2023 року до бюджету всього сплачено 9500,5 тис.грн. Середній попередньо розрахунковий відсоток сплати до грошової оцінки  складає 11,4 відс.</w:t>
      </w:r>
    </w:p>
    <w:p w:rsidR="00051D51" w:rsidRPr="00EE57A6" w:rsidRDefault="00051D51" w:rsidP="00051D51">
      <w:pPr>
        <w:ind w:firstLine="709"/>
        <w:jc w:val="both"/>
        <w:rPr>
          <w:rStyle w:val="a8"/>
          <w:i w:val="0"/>
          <w:noProof/>
          <w:color w:val="000000"/>
          <w:sz w:val="28"/>
          <w:szCs w:val="28"/>
          <w:highlight w:val="yellow"/>
        </w:rPr>
      </w:pPr>
      <w:r w:rsidRPr="00EE57A6">
        <w:rPr>
          <w:sz w:val="28"/>
          <w:szCs w:val="28"/>
        </w:rPr>
        <w:t xml:space="preserve"> Робочою групою з легалізації виплати заробітної плати та зайнятості населення проводяться моніторингові виходи з метою виявлення осіб, які здійснюють господарську діяльність на території громади без державної реєстрації як фізичні особи-підприємці та незареєстрованих найманих працівників. За січень – вересень 2023 року було здійснено 9 виходів робочої групи та відвідано 77 суб’єкт господарювання, їм роз’яснено відповідальність за порушення вимог законодавства про працю та роздано пам’ятку з розмірами штрафних санкцій за таке порушення. В результаті роботи робочої групи зареєстровано діяльність п’яти  ФОПів.</w:t>
      </w:r>
    </w:p>
    <w:p w:rsidR="00051D51" w:rsidRPr="00EE57A6" w:rsidRDefault="00051D51" w:rsidP="00051D51">
      <w:pPr>
        <w:ind w:firstLine="709"/>
        <w:jc w:val="both"/>
        <w:rPr>
          <w:rStyle w:val="a8"/>
          <w:i w:val="0"/>
          <w:noProof/>
          <w:color w:val="000000"/>
          <w:sz w:val="28"/>
          <w:szCs w:val="28"/>
        </w:rPr>
      </w:pPr>
    </w:p>
    <w:p w:rsidR="00051D51" w:rsidRPr="00EE57A6" w:rsidRDefault="00051D51" w:rsidP="00051D51">
      <w:pPr>
        <w:ind w:firstLine="709"/>
        <w:jc w:val="both"/>
        <w:rPr>
          <w:color w:val="000000"/>
          <w:sz w:val="28"/>
          <w:szCs w:val="28"/>
        </w:rPr>
      </w:pPr>
      <w:r w:rsidRPr="00EE57A6">
        <w:rPr>
          <w:rStyle w:val="a8"/>
          <w:noProof/>
          <w:color w:val="000000"/>
          <w:sz w:val="28"/>
          <w:szCs w:val="28"/>
        </w:rPr>
        <w:t xml:space="preserve">За рахунок перевиконання доходної частини бюджету Звенигородської МТГ </w:t>
      </w:r>
      <w:r w:rsidRPr="00EE57A6">
        <w:rPr>
          <w:color w:val="000000"/>
          <w:sz w:val="28"/>
          <w:szCs w:val="28"/>
        </w:rPr>
        <w:t>у 2023 році, збільшено річний план  по загальному фонду на суму 8593,6 тис.грн,  по спеціальному фонду на суму 3834,1тис.грн.</w:t>
      </w:r>
    </w:p>
    <w:p w:rsidR="00051D51" w:rsidRPr="00EE57A6" w:rsidRDefault="00051D51" w:rsidP="00051D51">
      <w:pPr>
        <w:jc w:val="center"/>
        <w:rPr>
          <w:b/>
          <w:color w:val="000000"/>
          <w:sz w:val="28"/>
          <w:szCs w:val="28"/>
        </w:rPr>
      </w:pPr>
    </w:p>
    <w:p w:rsidR="00051D51" w:rsidRPr="00EE57A6" w:rsidRDefault="00051D51" w:rsidP="00051D51">
      <w:pPr>
        <w:jc w:val="center"/>
        <w:rPr>
          <w:b/>
          <w:color w:val="000000"/>
          <w:sz w:val="28"/>
          <w:szCs w:val="28"/>
        </w:rPr>
      </w:pPr>
    </w:p>
    <w:p w:rsidR="00051D51" w:rsidRPr="00EE57A6" w:rsidRDefault="00051D51" w:rsidP="00051D51">
      <w:pPr>
        <w:jc w:val="center"/>
        <w:rPr>
          <w:b/>
          <w:color w:val="000000"/>
          <w:sz w:val="28"/>
          <w:szCs w:val="28"/>
        </w:rPr>
      </w:pPr>
    </w:p>
    <w:p w:rsidR="00051D51" w:rsidRPr="00EE57A6" w:rsidRDefault="00051D51" w:rsidP="00051D51">
      <w:pPr>
        <w:jc w:val="center"/>
        <w:rPr>
          <w:b/>
          <w:color w:val="000000"/>
          <w:sz w:val="28"/>
          <w:szCs w:val="28"/>
        </w:rPr>
      </w:pPr>
    </w:p>
    <w:p w:rsidR="00051D51" w:rsidRPr="00EE57A6" w:rsidRDefault="00051D51" w:rsidP="00051D51">
      <w:pPr>
        <w:jc w:val="center"/>
        <w:rPr>
          <w:b/>
          <w:color w:val="000000"/>
          <w:sz w:val="28"/>
          <w:szCs w:val="28"/>
        </w:rPr>
      </w:pPr>
    </w:p>
    <w:p w:rsidR="00051D51" w:rsidRPr="00EE57A6" w:rsidRDefault="00051D51" w:rsidP="00051D51">
      <w:pPr>
        <w:jc w:val="center"/>
        <w:rPr>
          <w:b/>
          <w:color w:val="000000"/>
          <w:sz w:val="28"/>
          <w:szCs w:val="28"/>
        </w:rPr>
      </w:pPr>
      <w:r w:rsidRPr="00EE57A6">
        <w:rPr>
          <w:b/>
          <w:color w:val="000000"/>
          <w:sz w:val="28"/>
          <w:szCs w:val="28"/>
        </w:rPr>
        <w:t>ВИДАТКИ</w:t>
      </w:r>
    </w:p>
    <w:p w:rsidR="00051D51" w:rsidRPr="00AA6F59" w:rsidRDefault="00051D51" w:rsidP="00051D51">
      <w:pPr>
        <w:jc w:val="center"/>
        <w:rPr>
          <w:b/>
          <w:color w:val="000000"/>
          <w:sz w:val="28"/>
          <w:szCs w:val="28"/>
          <w:highlight w:val="lightGray"/>
        </w:rPr>
      </w:pPr>
    </w:p>
    <w:p w:rsidR="00051D51" w:rsidRPr="00EE57A6" w:rsidRDefault="00051D51" w:rsidP="00051D51">
      <w:pPr>
        <w:pStyle w:val="2"/>
        <w:ind w:firstLine="709"/>
        <w:rPr>
          <w:color w:val="000000"/>
        </w:rPr>
      </w:pPr>
      <w:r w:rsidRPr="00EE57A6">
        <w:rPr>
          <w:color w:val="000000"/>
        </w:rPr>
        <w:t xml:space="preserve">Видаткова частина   бюджету Звенигородської міської територіальної громади  за  9 місяців 2023 року виконана у сумі 224935,9 тис.грн, у тому числі: за загальним фондом – 196155,1 тис.грн (66,9 відс. до уточненого розпису на рік), за спеціальним фондом – 28780,8 тис.грн  (72,6 відс. до уточненого кошторису на рік). </w:t>
      </w:r>
    </w:p>
    <w:p w:rsidR="00051D51" w:rsidRPr="00EE57A6" w:rsidRDefault="00051D51" w:rsidP="00051D51">
      <w:pPr>
        <w:ind w:firstLine="709"/>
        <w:jc w:val="both"/>
        <w:rPr>
          <w:color w:val="000000"/>
          <w:sz w:val="28"/>
          <w:szCs w:val="28"/>
        </w:rPr>
      </w:pPr>
      <w:r w:rsidRPr="00EE57A6">
        <w:rPr>
          <w:color w:val="000000"/>
          <w:sz w:val="28"/>
          <w:szCs w:val="28"/>
        </w:rPr>
        <w:t>У порівнянні з відповідним періодом 2022 роком видатки загального та спеціального фондів міського бюджету збільшилися з 172628,8</w:t>
      </w:r>
      <w:r w:rsidRPr="00EE57A6">
        <w:rPr>
          <w:color w:val="000000"/>
        </w:rPr>
        <w:t xml:space="preserve"> </w:t>
      </w:r>
      <w:r w:rsidRPr="00EE57A6">
        <w:rPr>
          <w:color w:val="000000"/>
          <w:sz w:val="28"/>
          <w:szCs w:val="28"/>
        </w:rPr>
        <w:t xml:space="preserve"> тис.грн до 224935,9 тис.грн, або на 52307,1 тис.грн (на 30,3 відс.)</w:t>
      </w:r>
    </w:p>
    <w:p w:rsidR="00051D51" w:rsidRPr="00EE57A6" w:rsidRDefault="00051D51" w:rsidP="00051D51">
      <w:pPr>
        <w:ind w:firstLine="709"/>
        <w:jc w:val="both"/>
        <w:rPr>
          <w:color w:val="000000"/>
          <w:sz w:val="28"/>
          <w:szCs w:val="28"/>
          <w:highlight w:val="yellow"/>
        </w:rPr>
      </w:pPr>
    </w:p>
    <w:p w:rsidR="00051D51" w:rsidRPr="00EE57A6" w:rsidRDefault="00051D51" w:rsidP="00051D51">
      <w:pPr>
        <w:ind w:firstLine="708"/>
        <w:jc w:val="both"/>
        <w:rPr>
          <w:color w:val="000000"/>
          <w:sz w:val="28"/>
          <w:szCs w:val="28"/>
        </w:rPr>
      </w:pPr>
      <w:r w:rsidRPr="00EE57A6">
        <w:rPr>
          <w:color w:val="000000"/>
          <w:sz w:val="28"/>
          <w:szCs w:val="28"/>
        </w:rPr>
        <w:t>На  галузь освіти спрямовано 105766,7 тис.грн (53,9 відс. від загального обсягу проведених видатків), державного управління – 25401,5 тис.грн (12,9 відс.), охорони здоров'я – 13731,0 тис.грн (7,0 відс.), житлово-комунального господарства – 19880,8 тис.грн (10,1 відс.), соціального захисту та соціального забезпечення  - 11725,0 тис.грн. (6,0 відс.), культури і мистецтва – 6596,9 тис.грн. (3,4 відс.), економічна діяльність – 8221,6 тис.грн (4,2 відс.), фізичної культури і спорту – 2682,9 тис.грн (1,4 відс.), інщу діяльність – 820,9 тис.грн (0,4 відс.), перераховано міжбюджетних трансфертів – 1327,8 тис.грн (0,7 відс.).</w:t>
      </w:r>
    </w:p>
    <w:p w:rsidR="00051D51" w:rsidRPr="00EE57A6" w:rsidRDefault="00051D51" w:rsidP="00051D51">
      <w:pPr>
        <w:ind w:firstLine="708"/>
        <w:jc w:val="both"/>
        <w:rPr>
          <w:color w:val="000000"/>
          <w:sz w:val="28"/>
          <w:highlight w:val="yellow"/>
        </w:rPr>
      </w:pPr>
      <w:r w:rsidRPr="00EE57A6">
        <w:rPr>
          <w:color w:val="000000"/>
          <w:sz w:val="28"/>
          <w:highlight w:val="yellow"/>
        </w:rPr>
        <w:t xml:space="preserve"> </w:t>
      </w:r>
    </w:p>
    <w:p w:rsidR="00051D51" w:rsidRPr="00EE57A6" w:rsidRDefault="00051D51" w:rsidP="00051D51">
      <w:pPr>
        <w:jc w:val="center"/>
        <w:rPr>
          <w:color w:val="000000"/>
          <w:sz w:val="28"/>
          <w:szCs w:val="28"/>
        </w:rPr>
      </w:pPr>
      <w:r w:rsidRPr="00EB6E06">
        <w:rPr>
          <w:noProof/>
          <w:lang w:val="en-US" w:eastAsia="en-US"/>
        </w:rPr>
        <w:lastRenderedPageBreak/>
        <w:drawing>
          <wp:inline distT="0" distB="0" distL="0" distR="0" wp14:anchorId="4619A964" wp14:editId="61844475">
            <wp:extent cx="5758180" cy="4209415"/>
            <wp:effectExtent l="0" t="0" r="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51D51" w:rsidRPr="00AA6F59" w:rsidRDefault="00051D51" w:rsidP="00051D51">
      <w:pPr>
        <w:rPr>
          <w:color w:val="000000"/>
          <w:sz w:val="28"/>
          <w:highlight w:val="lightGray"/>
        </w:rPr>
      </w:pPr>
    </w:p>
    <w:p w:rsidR="00051D51" w:rsidRPr="00AA6F59" w:rsidRDefault="00051D51" w:rsidP="00051D51">
      <w:pPr>
        <w:rPr>
          <w:color w:val="000000"/>
          <w:sz w:val="28"/>
          <w:highlight w:val="lightGray"/>
        </w:rPr>
      </w:pPr>
    </w:p>
    <w:p w:rsidR="00051D51" w:rsidRPr="00EE57A6" w:rsidRDefault="00051D51" w:rsidP="00051D51">
      <w:pPr>
        <w:ind w:firstLine="708"/>
        <w:jc w:val="both"/>
        <w:rPr>
          <w:color w:val="000000"/>
          <w:sz w:val="28"/>
          <w:szCs w:val="28"/>
        </w:rPr>
      </w:pPr>
      <w:r w:rsidRPr="00EE57A6">
        <w:rPr>
          <w:color w:val="000000"/>
          <w:sz w:val="28"/>
          <w:szCs w:val="28"/>
        </w:rPr>
        <w:t>За економічною структурою видатки загального фонду характеризуються наступними показниками: видатки на заробітну плату з нарахуваннями – 131980,4 тис.грн (67,3 відс. від загального обсягу проведених видатків), оплата комунальних послуг та енергоносіїв (з урахуванням закладів охорони здоров»я) – 21390,1 тис.грн (10,9 відс.),  субсидії та поточні трансферти підприємствам (установам, організаціям) – 16206,5 тис.грн (8,2 відс.),  інші поточні видатки – 21505,9 тис.грн (11,0 відс.), інші виплати населенню – 3537,4 тис.грн (1,8 відс.), медикаменти та продукти харчування – 1534,8 тис.грн (0,8 відс.).</w:t>
      </w:r>
    </w:p>
    <w:p w:rsidR="00051D51" w:rsidRPr="00EE57A6" w:rsidRDefault="00051D51" w:rsidP="00051D51">
      <w:pPr>
        <w:ind w:firstLine="708"/>
        <w:jc w:val="both"/>
        <w:rPr>
          <w:color w:val="000000"/>
          <w:sz w:val="28"/>
          <w:szCs w:val="28"/>
        </w:rPr>
      </w:pPr>
    </w:p>
    <w:p w:rsidR="00051D51" w:rsidRPr="00EE57A6" w:rsidRDefault="00051D51" w:rsidP="00051D51">
      <w:pPr>
        <w:ind w:firstLine="567"/>
        <w:jc w:val="both"/>
        <w:rPr>
          <w:color w:val="000000"/>
          <w:sz w:val="28"/>
          <w:szCs w:val="28"/>
        </w:rPr>
      </w:pPr>
      <w:r w:rsidRPr="00EE57A6">
        <w:rPr>
          <w:color w:val="000000"/>
          <w:sz w:val="28"/>
          <w:szCs w:val="28"/>
        </w:rPr>
        <w:t>В цілому на захищені статті спрямовано кошти в сумі 150507,0 тис.грн, що становить  76,7 відс. видатків загального фонду.</w:t>
      </w:r>
    </w:p>
    <w:p w:rsidR="00051D51" w:rsidRPr="00EE57A6" w:rsidRDefault="00051D51" w:rsidP="00051D51">
      <w:pPr>
        <w:pStyle w:val="2"/>
        <w:ind w:firstLine="567"/>
        <w:rPr>
          <w:color w:val="000000"/>
          <w:szCs w:val="28"/>
        </w:rPr>
      </w:pPr>
      <w:r w:rsidRPr="00EE57A6">
        <w:rPr>
          <w:color w:val="000000"/>
          <w:szCs w:val="28"/>
        </w:rPr>
        <w:t xml:space="preserve">За  звітний період забезпечено в повному обсязі фінансування видатків на виплату заробітної плати, проведено розрахунки бюджетних установ за спожиті енергоносії. </w:t>
      </w:r>
    </w:p>
    <w:p w:rsidR="00051D51" w:rsidRPr="00EE57A6" w:rsidRDefault="00051D51" w:rsidP="00051D51">
      <w:pPr>
        <w:pStyle w:val="2"/>
        <w:ind w:firstLine="567"/>
        <w:rPr>
          <w:color w:val="000000"/>
          <w:szCs w:val="28"/>
        </w:rPr>
      </w:pPr>
    </w:p>
    <w:p w:rsidR="00051D51" w:rsidRPr="00EE57A6" w:rsidRDefault="00051D51" w:rsidP="00051D51">
      <w:pPr>
        <w:jc w:val="center"/>
        <w:rPr>
          <w:noProof/>
          <w:color w:val="000000"/>
          <w:highlight w:val="yellow"/>
          <w:lang w:eastAsia="en-US"/>
        </w:rPr>
      </w:pPr>
      <w:r w:rsidRPr="00EB6E06">
        <w:rPr>
          <w:noProof/>
          <w:lang w:val="en-US" w:eastAsia="en-US"/>
        </w:rPr>
        <w:lastRenderedPageBreak/>
        <w:drawing>
          <wp:inline distT="0" distB="0" distL="0" distR="0" wp14:anchorId="2A432242" wp14:editId="6C860B13">
            <wp:extent cx="5758180" cy="358584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51D51" w:rsidRPr="00EE57A6" w:rsidRDefault="00051D51" w:rsidP="00051D51">
      <w:pPr>
        <w:ind w:firstLine="708"/>
        <w:jc w:val="both"/>
        <w:rPr>
          <w:noProof/>
          <w:color w:val="000000"/>
          <w:highlight w:val="yellow"/>
          <w:lang w:eastAsia="en-US"/>
        </w:rPr>
      </w:pPr>
    </w:p>
    <w:p w:rsidR="00051D51" w:rsidRPr="00EE57A6" w:rsidRDefault="00051D51" w:rsidP="00051D51">
      <w:pPr>
        <w:ind w:firstLine="708"/>
        <w:jc w:val="both"/>
        <w:rPr>
          <w:color w:val="000000"/>
          <w:sz w:val="28"/>
          <w:highlight w:val="yellow"/>
        </w:rPr>
      </w:pPr>
    </w:p>
    <w:p w:rsidR="00051D51" w:rsidRPr="00EE57A6" w:rsidRDefault="00051D51" w:rsidP="00051D51">
      <w:pPr>
        <w:pStyle w:val="2"/>
        <w:ind w:firstLine="0"/>
        <w:rPr>
          <w:color w:val="000000"/>
          <w:sz w:val="27"/>
          <w:szCs w:val="27"/>
          <w:highlight w:val="yellow"/>
        </w:rPr>
        <w:sectPr w:rsidR="00051D51" w:rsidRPr="00EE57A6" w:rsidSect="00051D51">
          <w:headerReference w:type="even" r:id="rId12"/>
          <w:headerReference w:type="default" r:id="rId13"/>
          <w:footerReference w:type="even" r:id="rId14"/>
          <w:footerReference w:type="default" r:id="rId15"/>
          <w:pgSz w:w="11907" w:h="16840" w:code="9"/>
          <w:pgMar w:top="1021" w:right="737" w:bottom="1021" w:left="1531" w:header="0" w:footer="0" w:gutter="0"/>
          <w:cols w:space="720"/>
          <w:titlePg/>
        </w:sectPr>
      </w:pPr>
    </w:p>
    <w:p w:rsidR="00051D51" w:rsidRPr="00EE57A6" w:rsidRDefault="00051D51" w:rsidP="00051D51">
      <w:pPr>
        <w:tabs>
          <w:tab w:val="left" w:pos="720"/>
        </w:tabs>
        <w:ind w:firstLine="567"/>
        <w:jc w:val="both"/>
        <w:rPr>
          <w:color w:val="000000"/>
          <w:sz w:val="28"/>
          <w:szCs w:val="28"/>
        </w:rPr>
      </w:pPr>
      <w:r w:rsidRPr="00EE57A6">
        <w:rPr>
          <w:color w:val="000000"/>
          <w:sz w:val="28"/>
          <w:szCs w:val="28"/>
        </w:rPr>
        <w:lastRenderedPageBreak/>
        <w:t xml:space="preserve">На утримання органів державного управління за звітний період використано 25401,5 тис. грн або 89,0 відс. до уточненого плану звітного періоду, в тому числі видатки на заробітну плату з нарахуваннями спрямовано </w:t>
      </w:r>
      <w:r w:rsidRPr="00EE57A6">
        <w:rPr>
          <w:color w:val="000000"/>
          <w:sz w:val="28"/>
          <w:szCs w:val="28"/>
        </w:rPr>
        <w:br/>
        <w:t>22875,9 тис. грн  або 90,1 відс. до загального обсягу видатків, оплату енергоносіїв та комунальних послуг – 1015,3 тис.грн або 4,0 відс..</w:t>
      </w:r>
    </w:p>
    <w:p w:rsidR="00051D51" w:rsidRPr="00EE57A6" w:rsidRDefault="00051D51" w:rsidP="00051D51">
      <w:pPr>
        <w:jc w:val="both"/>
        <w:rPr>
          <w:color w:val="000000"/>
          <w:sz w:val="28"/>
          <w:szCs w:val="28"/>
        </w:rPr>
      </w:pPr>
    </w:p>
    <w:p w:rsidR="00051D51" w:rsidRPr="00EE57A6" w:rsidRDefault="00051D51" w:rsidP="00051D51">
      <w:pPr>
        <w:ind w:firstLine="567"/>
        <w:jc w:val="both"/>
        <w:rPr>
          <w:color w:val="000000"/>
          <w:sz w:val="28"/>
          <w:szCs w:val="28"/>
        </w:rPr>
      </w:pPr>
      <w:r w:rsidRPr="00EE57A6">
        <w:rPr>
          <w:color w:val="000000"/>
          <w:sz w:val="28"/>
          <w:szCs w:val="28"/>
        </w:rPr>
        <w:t>На утримання закладів освіти використано 105766,7 тис. грн  або 89,9 відс.  уточненого плану звітного періоду.</w:t>
      </w:r>
    </w:p>
    <w:p w:rsidR="00051D51" w:rsidRPr="00EE57A6" w:rsidRDefault="00051D51" w:rsidP="00051D51">
      <w:pPr>
        <w:ind w:firstLine="567"/>
        <w:jc w:val="both"/>
        <w:rPr>
          <w:color w:val="000000"/>
          <w:sz w:val="28"/>
          <w:szCs w:val="28"/>
        </w:rPr>
      </w:pPr>
      <w:r w:rsidRPr="00EE57A6">
        <w:rPr>
          <w:color w:val="000000"/>
          <w:sz w:val="28"/>
          <w:szCs w:val="28"/>
        </w:rPr>
        <w:t>На заробітну плату з нарахуваннями спрямовано  89026,0 тис. грн (94,7 відс. до уточнених  призначень звітного періоду та 84,2 відс. до загального обсягу видатків).</w:t>
      </w:r>
    </w:p>
    <w:p w:rsidR="00051D51" w:rsidRPr="00EE57A6" w:rsidRDefault="00051D51" w:rsidP="00051D51">
      <w:pPr>
        <w:ind w:firstLine="567"/>
        <w:jc w:val="both"/>
        <w:rPr>
          <w:color w:val="000000"/>
          <w:sz w:val="28"/>
          <w:szCs w:val="28"/>
        </w:rPr>
      </w:pPr>
      <w:r w:rsidRPr="00EE57A6">
        <w:rPr>
          <w:color w:val="000000"/>
          <w:sz w:val="28"/>
          <w:szCs w:val="28"/>
        </w:rPr>
        <w:t xml:space="preserve">На оплату комунальних платежів спрямовано  9673,5 тис. грн або 71,0 відс. до уточнених планових призначень звітного періоду. Питома вага цих видатків становить 9,1 відс. до загального обсягу. </w:t>
      </w:r>
    </w:p>
    <w:p w:rsidR="00051D51" w:rsidRPr="00EE57A6" w:rsidRDefault="00051D51" w:rsidP="00051D51">
      <w:pPr>
        <w:jc w:val="both"/>
        <w:rPr>
          <w:b/>
          <w:bCs/>
          <w:color w:val="000000"/>
          <w:sz w:val="28"/>
          <w:szCs w:val="28"/>
          <w:highlight w:val="yellow"/>
        </w:rPr>
      </w:pPr>
    </w:p>
    <w:p w:rsidR="00051D51" w:rsidRPr="00EE57A6" w:rsidRDefault="00051D51" w:rsidP="00051D51">
      <w:pPr>
        <w:ind w:firstLine="708"/>
        <w:jc w:val="both"/>
        <w:rPr>
          <w:color w:val="000000"/>
          <w:sz w:val="28"/>
          <w:szCs w:val="28"/>
        </w:rPr>
      </w:pPr>
      <w:r w:rsidRPr="00EE57A6">
        <w:rPr>
          <w:color w:val="000000"/>
          <w:sz w:val="28"/>
          <w:szCs w:val="28"/>
        </w:rPr>
        <w:t>Асигнування на утримання установ охорони здоров’я використані в сумі 13731,0 тис. грн, при уточненому  плані звітного періоду 18195,7   тис. грн, або на 75,5 відс. На утримання  КНП "Звенигородська багатопрофільна лікарня інтенсивного лікування" спрямовано 8729,3 тис.грн або 63,6 відс. від загального обсягу проведених видатків на галузь, КНП «Звенигородський центр первинної медико-санітарної допомоги» - 4022,0 тис.грн або 29,3 відс.,  на програми і централізовані заходи з імунопрофілактики – 37,5 тис.грн або 0,3 відс.,  на  інші програми та заходи у сфері охорони здоров’я – 942,2 тис.грн або 6,8 відс.</w:t>
      </w:r>
    </w:p>
    <w:p w:rsidR="00051D51" w:rsidRPr="00EE57A6" w:rsidRDefault="00051D51" w:rsidP="00051D51">
      <w:pPr>
        <w:jc w:val="both"/>
        <w:rPr>
          <w:color w:val="000000"/>
          <w:sz w:val="28"/>
          <w:szCs w:val="28"/>
        </w:rPr>
      </w:pPr>
    </w:p>
    <w:p w:rsidR="00051D51" w:rsidRPr="00EE57A6" w:rsidRDefault="00051D51" w:rsidP="00051D51">
      <w:pPr>
        <w:ind w:firstLine="708"/>
        <w:jc w:val="both"/>
        <w:rPr>
          <w:color w:val="000000"/>
          <w:sz w:val="28"/>
          <w:szCs w:val="28"/>
        </w:rPr>
      </w:pPr>
      <w:r w:rsidRPr="00EE57A6">
        <w:rPr>
          <w:color w:val="000000"/>
          <w:sz w:val="28"/>
          <w:szCs w:val="28"/>
        </w:rPr>
        <w:lastRenderedPageBreak/>
        <w:t xml:space="preserve"> Видатки на соціальний захист</w:t>
      </w:r>
      <w:r w:rsidRPr="00EE57A6">
        <w:rPr>
          <w:b/>
          <w:color w:val="000000"/>
          <w:sz w:val="28"/>
          <w:szCs w:val="28"/>
        </w:rPr>
        <w:t xml:space="preserve"> </w:t>
      </w:r>
      <w:r w:rsidRPr="00EE57A6">
        <w:rPr>
          <w:color w:val="000000"/>
          <w:sz w:val="28"/>
          <w:szCs w:val="28"/>
        </w:rPr>
        <w:t>склали 11725,0 тис.грн  при уточненому річному плані  13637,7 тис. грн  або  75,5 відс. до уточненого плану  звітного періоду.</w:t>
      </w:r>
    </w:p>
    <w:p w:rsidR="00051D51" w:rsidRPr="00EE57A6" w:rsidRDefault="00051D51" w:rsidP="00051D51">
      <w:pPr>
        <w:ind w:firstLine="708"/>
        <w:jc w:val="both"/>
        <w:rPr>
          <w:color w:val="000000"/>
          <w:sz w:val="28"/>
          <w:szCs w:val="28"/>
        </w:rPr>
      </w:pPr>
      <w:r w:rsidRPr="00EE57A6">
        <w:rPr>
          <w:color w:val="000000"/>
          <w:sz w:val="28"/>
          <w:szCs w:val="28"/>
        </w:rPr>
        <w:t>За рахунок субвенції з обласного бюджету проведено видатки:</w:t>
      </w:r>
    </w:p>
    <w:p w:rsidR="00051D51" w:rsidRPr="00EE57A6" w:rsidRDefault="00051D51" w:rsidP="00051D51">
      <w:pPr>
        <w:ind w:firstLine="708"/>
        <w:jc w:val="both"/>
        <w:rPr>
          <w:color w:val="000000"/>
          <w:sz w:val="28"/>
          <w:szCs w:val="28"/>
        </w:rPr>
      </w:pPr>
      <w:r w:rsidRPr="00EE57A6">
        <w:rPr>
          <w:color w:val="000000"/>
          <w:sz w:val="28"/>
          <w:szCs w:val="28"/>
        </w:rPr>
        <w:t xml:space="preserve"> на пільгове медичне обслуговування громадян, які постраждали внаслідок Чорнобильської катастрофи (КТКВМБ 3050) - у сумі 756,1 тис.грн,</w:t>
      </w:r>
    </w:p>
    <w:p w:rsidR="00051D51" w:rsidRPr="00EE57A6" w:rsidRDefault="00051D51" w:rsidP="00051D51">
      <w:pPr>
        <w:ind w:firstLine="708"/>
        <w:jc w:val="both"/>
        <w:rPr>
          <w:color w:val="000000"/>
          <w:sz w:val="28"/>
          <w:szCs w:val="28"/>
        </w:rPr>
      </w:pPr>
      <w:r w:rsidRPr="00EE57A6">
        <w:rPr>
          <w:color w:val="000000"/>
          <w:sz w:val="28"/>
          <w:szCs w:val="28"/>
        </w:rPr>
        <w:t>на компенсаційні виплати особам з інвалідністю на бензин, ремонт, технічне обслуговування автомобілів, мотоколясок і на транспортне обслуговування (КТКВМБ 3171) - у сумі 10,3 тис.грн.</w:t>
      </w:r>
    </w:p>
    <w:p w:rsidR="00051D51" w:rsidRPr="00EE57A6" w:rsidRDefault="00051D51" w:rsidP="00051D51">
      <w:pPr>
        <w:ind w:firstLine="708"/>
        <w:jc w:val="both"/>
        <w:rPr>
          <w:color w:val="000000"/>
          <w:sz w:val="28"/>
          <w:szCs w:val="28"/>
        </w:rPr>
      </w:pPr>
      <w:r w:rsidRPr="00EE57A6">
        <w:rPr>
          <w:color w:val="000000"/>
          <w:sz w:val="28"/>
          <w:szCs w:val="28"/>
        </w:rPr>
        <w:t>За рахунок коштів територіальної громади проведено видатки:</w:t>
      </w:r>
    </w:p>
    <w:p w:rsidR="00051D51" w:rsidRPr="00EE57A6" w:rsidRDefault="00051D51" w:rsidP="00051D51">
      <w:pPr>
        <w:ind w:firstLine="708"/>
        <w:jc w:val="both"/>
        <w:rPr>
          <w:color w:val="000000"/>
          <w:sz w:val="28"/>
          <w:szCs w:val="28"/>
        </w:rPr>
      </w:pPr>
      <w:r w:rsidRPr="00EE57A6">
        <w:rPr>
          <w:color w:val="000000"/>
          <w:sz w:val="28"/>
          <w:szCs w:val="28"/>
        </w:rPr>
        <w:t>на надання пільг окремим категоріям громадян з оплати послуг зв'язку (КТКВМБ 3032) у сумі  86,6 тис.грн,</w:t>
      </w:r>
    </w:p>
    <w:p w:rsidR="00051D51" w:rsidRPr="00EE57A6" w:rsidRDefault="00051D51" w:rsidP="00051D51">
      <w:pPr>
        <w:ind w:firstLine="708"/>
        <w:jc w:val="both"/>
        <w:rPr>
          <w:color w:val="000000"/>
          <w:sz w:val="28"/>
          <w:szCs w:val="28"/>
        </w:rPr>
      </w:pPr>
      <w:r w:rsidRPr="00EE57A6">
        <w:rPr>
          <w:color w:val="000000"/>
          <w:sz w:val="28"/>
          <w:szCs w:val="28"/>
        </w:rPr>
        <w:t xml:space="preserve">на забезпечення соціальними послугами за місцем проживання громадян, які не здатні до самообслуговування у зв`язку з похилим віком, хворобою, інвалідністю (КТКВМБ 3104) у сумі  6034,2 тис.грн, </w:t>
      </w:r>
    </w:p>
    <w:p w:rsidR="00051D51" w:rsidRPr="00EE57A6" w:rsidRDefault="00051D51" w:rsidP="00051D51">
      <w:pPr>
        <w:ind w:firstLine="708"/>
        <w:jc w:val="both"/>
        <w:rPr>
          <w:color w:val="000000"/>
          <w:sz w:val="28"/>
          <w:szCs w:val="28"/>
        </w:rPr>
      </w:pPr>
      <w:r w:rsidRPr="00EE57A6">
        <w:rPr>
          <w:color w:val="000000"/>
          <w:sz w:val="28"/>
          <w:szCs w:val="28"/>
        </w:rPr>
        <w:t xml:space="preserve">на надання реабілітаційних послуг особам з інвалідністю та дітям з інвалідністю (КТКВМБ 3105) у сумі  1183,5 тис.грн, </w:t>
      </w:r>
    </w:p>
    <w:p w:rsidR="00051D51" w:rsidRPr="00EE57A6" w:rsidRDefault="00051D51" w:rsidP="00051D51">
      <w:pPr>
        <w:ind w:firstLine="708"/>
        <w:jc w:val="both"/>
        <w:rPr>
          <w:color w:val="000000"/>
          <w:sz w:val="28"/>
          <w:szCs w:val="28"/>
        </w:rPr>
      </w:pPr>
      <w:r w:rsidRPr="00EE57A6">
        <w:rPr>
          <w:color w:val="000000"/>
          <w:sz w:val="28"/>
          <w:szCs w:val="28"/>
        </w:rPr>
        <w:t xml:space="preserve">на виконання заходів державної політики з питань дітей та їх соціального захисту (КТКВМБ 3112) у сумі  8,0 тис.грн, </w:t>
      </w:r>
    </w:p>
    <w:p w:rsidR="00051D51" w:rsidRPr="00EE57A6" w:rsidRDefault="00051D51" w:rsidP="00051D51">
      <w:pPr>
        <w:ind w:firstLine="708"/>
        <w:jc w:val="both"/>
        <w:rPr>
          <w:color w:val="000000"/>
          <w:sz w:val="28"/>
          <w:szCs w:val="28"/>
        </w:rPr>
      </w:pPr>
      <w:r w:rsidRPr="00EE57A6">
        <w:rPr>
          <w:color w:val="000000"/>
          <w:sz w:val="28"/>
          <w:szCs w:val="28"/>
        </w:rPr>
        <w:t xml:space="preserve">на утримання  центру соціальних служб для молоді  (КТКВМБ 3121) у сумі  1132,1 тис.грн, </w:t>
      </w:r>
    </w:p>
    <w:p w:rsidR="00051D51" w:rsidRPr="00EE57A6" w:rsidRDefault="00051D51" w:rsidP="00051D51">
      <w:pPr>
        <w:ind w:firstLine="708"/>
        <w:jc w:val="both"/>
        <w:rPr>
          <w:color w:val="000000"/>
          <w:sz w:val="28"/>
          <w:szCs w:val="28"/>
        </w:rPr>
      </w:pPr>
      <w:r w:rsidRPr="00EE57A6">
        <w:rPr>
          <w:color w:val="000000"/>
          <w:sz w:val="28"/>
          <w:szCs w:val="28"/>
        </w:rPr>
        <w:t xml:space="preserve">на здійснення заходів та реалізація проектів на виконання Державної цільової соціальної програми «Молодь України» (КТКВМБ 3131) у сумі  14,0 тис.грн, </w:t>
      </w:r>
    </w:p>
    <w:p w:rsidR="00051D51" w:rsidRPr="00EE57A6" w:rsidRDefault="00051D51" w:rsidP="00051D51">
      <w:pPr>
        <w:ind w:firstLine="708"/>
        <w:jc w:val="both"/>
        <w:rPr>
          <w:color w:val="000000"/>
          <w:sz w:val="28"/>
          <w:szCs w:val="28"/>
        </w:rPr>
      </w:pPr>
      <w:r w:rsidRPr="00EE57A6">
        <w:rPr>
          <w:bCs/>
          <w:color w:val="000000"/>
          <w:sz w:val="28"/>
          <w:szCs w:val="28"/>
          <w:lang w:eastAsia="uk-UA"/>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EE57A6">
        <w:rPr>
          <w:color w:val="000000"/>
          <w:sz w:val="28"/>
          <w:szCs w:val="28"/>
        </w:rPr>
        <w:t xml:space="preserve">(КТКВМБ 3160) у сумі  91,6 тис.грн, </w:t>
      </w:r>
    </w:p>
    <w:p w:rsidR="00051D51" w:rsidRPr="00EE57A6" w:rsidRDefault="00051D51" w:rsidP="00051D51">
      <w:pPr>
        <w:ind w:firstLine="708"/>
        <w:jc w:val="both"/>
        <w:rPr>
          <w:color w:val="000000"/>
          <w:sz w:val="28"/>
          <w:szCs w:val="28"/>
        </w:rPr>
      </w:pPr>
      <w:r w:rsidRPr="00EE57A6">
        <w:rPr>
          <w:color w:val="000000"/>
          <w:sz w:val="28"/>
          <w:szCs w:val="28"/>
        </w:rPr>
        <w:t xml:space="preserve">на надання фінансової підтримки громадським організаціям ветеранів і осіб з інвалідністю, діяльність яких має соціальну спрямованість (КТКВМБ 3192) у сумі  72,0 тис.грн, </w:t>
      </w:r>
    </w:p>
    <w:p w:rsidR="00051D51" w:rsidRPr="00EE57A6" w:rsidRDefault="00051D51" w:rsidP="00051D51">
      <w:pPr>
        <w:ind w:firstLine="708"/>
        <w:jc w:val="both"/>
        <w:rPr>
          <w:color w:val="000000"/>
          <w:sz w:val="28"/>
          <w:szCs w:val="28"/>
        </w:rPr>
      </w:pPr>
      <w:r w:rsidRPr="00EE57A6">
        <w:rPr>
          <w:color w:val="000000"/>
          <w:sz w:val="28"/>
          <w:szCs w:val="28"/>
        </w:rPr>
        <w:t xml:space="preserve">на надання підтримки внутрішньо переміщеним та/або евакуйованим особам у зв`язку із введенням воєнного стану (КТКВМБ 3230) у сумі  393,8 тис.грн, </w:t>
      </w:r>
    </w:p>
    <w:p w:rsidR="00051D51" w:rsidRPr="00EE57A6" w:rsidRDefault="00051D51" w:rsidP="00051D51">
      <w:pPr>
        <w:ind w:firstLine="708"/>
        <w:jc w:val="both"/>
        <w:rPr>
          <w:color w:val="000000"/>
          <w:sz w:val="28"/>
          <w:szCs w:val="28"/>
        </w:rPr>
      </w:pPr>
      <w:r w:rsidRPr="00EE57A6">
        <w:rPr>
          <w:color w:val="000000"/>
          <w:sz w:val="28"/>
          <w:szCs w:val="28"/>
        </w:rPr>
        <w:t>на виконання інших заходів у сфері соціального захисту і соціального забезпечення (КТКВМБ 3242) у сумі  1942,8 тис.грн на виплату матеріальної допомоги.</w:t>
      </w:r>
    </w:p>
    <w:p w:rsidR="00051D51" w:rsidRPr="00EE57A6" w:rsidRDefault="00051D51" w:rsidP="00051D51">
      <w:pPr>
        <w:jc w:val="both"/>
        <w:rPr>
          <w:color w:val="000000"/>
          <w:sz w:val="28"/>
          <w:szCs w:val="28"/>
          <w:highlight w:val="yellow"/>
        </w:rPr>
      </w:pPr>
    </w:p>
    <w:p w:rsidR="00051D51" w:rsidRPr="00EE57A6" w:rsidRDefault="00051D51" w:rsidP="00051D51">
      <w:pPr>
        <w:ind w:firstLine="708"/>
        <w:jc w:val="both"/>
        <w:rPr>
          <w:color w:val="000000"/>
          <w:sz w:val="28"/>
          <w:szCs w:val="28"/>
        </w:rPr>
      </w:pPr>
      <w:r w:rsidRPr="00EE57A6">
        <w:rPr>
          <w:color w:val="000000"/>
          <w:sz w:val="28"/>
          <w:szCs w:val="28"/>
        </w:rPr>
        <w:tab/>
        <w:t>Асигнування загального фонду на утримання установ культури і мистецтва використані у сумі 6596,9 тис. грн при уточненому плані звітного періоду 10794,1 тис.грн, що склало 79,2 відс. На виплату заробітної плати з нарахуваннями спрямовано 5838,5 тис.грн, що становить 86,4 відс. уточненого плану  звітного періоду та 88,5 відс. загального обсягу видатків, на оплату комунальних послуг та енергоносіїв – 382,3 тис.грн (49,4 відс. до уточнених  планових призначень звітного періоду та 5,8 відс. до загального обсягу видатків.</w:t>
      </w:r>
      <w:r w:rsidRPr="00EE57A6">
        <w:rPr>
          <w:color w:val="000000"/>
          <w:sz w:val="28"/>
          <w:szCs w:val="28"/>
        </w:rPr>
        <w:tab/>
      </w:r>
    </w:p>
    <w:p w:rsidR="00051D51" w:rsidRPr="00EE57A6" w:rsidRDefault="00051D51" w:rsidP="00051D51">
      <w:pPr>
        <w:ind w:firstLine="567"/>
        <w:jc w:val="both"/>
        <w:rPr>
          <w:color w:val="000000"/>
          <w:sz w:val="28"/>
          <w:szCs w:val="28"/>
          <w:highlight w:val="yellow"/>
        </w:rPr>
      </w:pPr>
      <w:r w:rsidRPr="00EE57A6">
        <w:rPr>
          <w:color w:val="000000"/>
          <w:sz w:val="28"/>
          <w:szCs w:val="28"/>
          <w:highlight w:val="yellow"/>
        </w:rPr>
        <w:lastRenderedPageBreak/>
        <w:t xml:space="preserve"> </w:t>
      </w:r>
    </w:p>
    <w:p w:rsidR="00051D51" w:rsidRPr="00EE57A6" w:rsidRDefault="00051D51" w:rsidP="00051D51">
      <w:pPr>
        <w:ind w:firstLine="708"/>
        <w:jc w:val="both"/>
        <w:rPr>
          <w:color w:val="000000"/>
          <w:sz w:val="28"/>
          <w:szCs w:val="28"/>
        </w:rPr>
      </w:pPr>
      <w:r w:rsidRPr="00EE57A6">
        <w:rPr>
          <w:color w:val="000000"/>
          <w:sz w:val="28"/>
          <w:szCs w:val="28"/>
        </w:rPr>
        <w:t>Заклади фізичної культури та спорту використали асигнування  у сумі   2682,9 тис.грн або 83,8 відс. уточненого плану звітного періоду з них: на утримання ДЮСШ – 2614,7 грн, на виконання окремих заходів з реалізації соціального проекту «Активні парки - локації здорової України» - 24,5 тис.грн, на виконання міських програм – 43,7 тис.грн. Із загальної суми видатків на заробітну плату з нарахуваннями спрямовано 2070,8 тис.грн, або 77,2 відс. загального обсягу видатків, на оплату комунальних послуг та енергоносіїв – 175,2 тис.грн, або 6,5 відс..</w:t>
      </w:r>
    </w:p>
    <w:p w:rsidR="00051D51" w:rsidRPr="00EE57A6" w:rsidRDefault="00051D51" w:rsidP="00051D51">
      <w:pPr>
        <w:jc w:val="both"/>
        <w:rPr>
          <w:color w:val="000000"/>
          <w:sz w:val="28"/>
          <w:szCs w:val="28"/>
          <w:highlight w:val="yellow"/>
        </w:rPr>
      </w:pPr>
    </w:p>
    <w:p w:rsidR="00051D51" w:rsidRPr="00EE57A6" w:rsidRDefault="00051D51" w:rsidP="00051D51">
      <w:pPr>
        <w:jc w:val="both"/>
        <w:rPr>
          <w:color w:val="000000"/>
          <w:sz w:val="28"/>
          <w:szCs w:val="28"/>
        </w:rPr>
      </w:pPr>
      <w:r w:rsidRPr="00EE57A6">
        <w:rPr>
          <w:color w:val="000000"/>
          <w:sz w:val="28"/>
          <w:szCs w:val="28"/>
        </w:rPr>
        <w:tab/>
        <w:t>По галузі "Житлово-комунальне господарство" проведено видатки у сумі 19880,8 тис.грн при уточненому плані звітного періоду 34131,1 тис.грн або на 69,5 відс.. За рахунок цих коштів було проведено видатки:</w:t>
      </w:r>
    </w:p>
    <w:p w:rsidR="00051D51" w:rsidRPr="00EE57A6" w:rsidRDefault="00051D51" w:rsidP="00051D51">
      <w:pPr>
        <w:jc w:val="both"/>
        <w:rPr>
          <w:color w:val="000000"/>
          <w:sz w:val="28"/>
          <w:szCs w:val="28"/>
        </w:rPr>
      </w:pPr>
      <w:r w:rsidRPr="00EE57A6">
        <w:rPr>
          <w:color w:val="000000"/>
          <w:sz w:val="28"/>
          <w:szCs w:val="28"/>
        </w:rPr>
        <w:t xml:space="preserve">          на експлуатацію та технічне обслуговування житлового фонду – 260,1 тис.грн;</w:t>
      </w:r>
    </w:p>
    <w:p w:rsidR="00051D51" w:rsidRPr="00EE57A6" w:rsidRDefault="00051D51" w:rsidP="00051D51">
      <w:pPr>
        <w:jc w:val="both"/>
        <w:rPr>
          <w:bCs/>
          <w:color w:val="000000"/>
          <w:sz w:val="28"/>
          <w:szCs w:val="28"/>
          <w:lang w:eastAsia="uk-UA"/>
        </w:rPr>
      </w:pPr>
      <w:r w:rsidRPr="00EE57A6">
        <w:rPr>
          <w:color w:val="000000"/>
          <w:sz w:val="28"/>
          <w:szCs w:val="28"/>
        </w:rPr>
        <w:tab/>
        <w:t xml:space="preserve">на </w:t>
      </w:r>
      <w:r w:rsidRPr="00EE57A6">
        <w:rPr>
          <w:bCs/>
          <w:color w:val="000000"/>
          <w:sz w:val="28"/>
          <w:szCs w:val="28"/>
          <w:lang w:eastAsia="uk-UA"/>
        </w:rPr>
        <w:t>забезпечення діяльності водопровідно-каналізаційного господарства – 2830,0 тис.грн;</w:t>
      </w:r>
    </w:p>
    <w:p w:rsidR="00051D51" w:rsidRPr="00EE57A6" w:rsidRDefault="00051D51" w:rsidP="00051D51">
      <w:pPr>
        <w:ind w:firstLine="708"/>
        <w:jc w:val="both"/>
        <w:rPr>
          <w:bCs/>
          <w:color w:val="000000"/>
          <w:sz w:val="28"/>
          <w:szCs w:val="28"/>
          <w:lang w:eastAsia="uk-UA"/>
        </w:rPr>
      </w:pPr>
      <w:r w:rsidRPr="00EE57A6">
        <w:rPr>
          <w:bCs/>
          <w:color w:val="000000"/>
          <w:sz w:val="28"/>
          <w:szCs w:val="28"/>
          <w:lang w:eastAsia="uk-UA"/>
        </w:rPr>
        <w:t>на забезпечення функціонування підприємств, установ та організацій, що виробляють, виконують та/або надають житлово-комунальні послуги – 1580,3 тис.грн;</w:t>
      </w:r>
    </w:p>
    <w:p w:rsidR="00051D51" w:rsidRPr="00EE57A6" w:rsidRDefault="00051D51" w:rsidP="00051D51">
      <w:pPr>
        <w:ind w:firstLine="708"/>
        <w:jc w:val="both"/>
        <w:rPr>
          <w:color w:val="000000"/>
          <w:sz w:val="28"/>
          <w:szCs w:val="28"/>
        </w:rPr>
      </w:pPr>
      <w:r w:rsidRPr="00EE57A6">
        <w:rPr>
          <w:color w:val="000000"/>
          <w:sz w:val="28"/>
          <w:szCs w:val="28"/>
        </w:rPr>
        <w:t>на благоустрій населених пунктів територіальної громади у сумі 11664,9 тис.грн;</w:t>
      </w:r>
    </w:p>
    <w:p w:rsidR="00051D51" w:rsidRPr="00EE57A6" w:rsidRDefault="00051D51" w:rsidP="00051D51">
      <w:pPr>
        <w:ind w:firstLine="708"/>
        <w:jc w:val="both"/>
        <w:rPr>
          <w:color w:val="000000"/>
          <w:sz w:val="28"/>
          <w:szCs w:val="28"/>
        </w:rPr>
      </w:pPr>
      <w:r w:rsidRPr="00EE57A6">
        <w:rPr>
          <w:color w:val="000000"/>
          <w:sz w:val="28"/>
          <w:szCs w:val="28"/>
        </w:rPr>
        <w:t>на заходи, пов’язані з поліпшенням питної води у сумі 316,7 тис.грн;</w:t>
      </w:r>
    </w:p>
    <w:p w:rsidR="00051D51" w:rsidRPr="00EE57A6" w:rsidRDefault="00051D51" w:rsidP="00051D51">
      <w:pPr>
        <w:ind w:firstLine="708"/>
        <w:jc w:val="both"/>
        <w:rPr>
          <w:color w:val="000000"/>
          <w:sz w:val="28"/>
          <w:szCs w:val="28"/>
        </w:rPr>
      </w:pPr>
      <w:r w:rsidRPr="00EE57A6">
        <w:rPr>
          <w:color w:val="000000"/>
          <w:sz w:val="28"/>
          <w:szCs w:val="28"/>
        </w:rPr>
        <w:t>на відшкодування різниці між розміром ціни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у сумі 3228,8 тис.грн.</w:t>
      </w:r>
    </w:p>
    <w:p w:rsidR="00051D51" w:rsidRPr="00EE57A6" w:rsidRDefault="00051D51" w:rsidP="00051D51">
      <w:pPr>
        <w:jc w:val="both"/>
        <w:rPr>
          <w:color w:val="000000"/>
          <w:sz w:val="28"/>
          <w:szCs w:val="28"/>
          <w:highlight w:val="yellow"/>
        </w:rPr>
      </w:pPr>
    </w:p>
    <w:p w:rsidR="00051D51" w:rsidRPr="00EE57A6" w:rsidRDefault="00051D51" w:rsidP="00051D51">
      <w:pPr>
        <w:ind w:firstLine="708"/>
        <w:jc w:val="both"/>
        <w:rPr>
          <w:color w:val="000000"/>
          <w:sz w:val="28"/>
          <w:szCs w:val="28"/>
        </w:rPr>
      </w:pPr>
      <w:r w:rsidRPr="00EE57A6">
        <w:rPr>
          <w:color w:val="000000"/>
          <w:sz w:val="28"/>
          <w:szCs w:val="28"/>
        </w:rPr>
        <w:t xml:space="preserve">По галузі </w:t>
      </w:r>
      <w:r w:rsidRPr="00EE57A6">
        <w:rPr>
          <w:bCs/>
          <w:color w:val="000000"/>
          <w:sz w:val="28"/>
          <w:szCs w:val="28"/>
        </w:rPr>
        <w:t xml:space="preserve">"Економічна діяльність" </w:t>
      </w:r>
      <w:r w:rsidRPr="00EE57A6">
        <w:rPr>
          <w:color w:val="000000"/>
          <w:sz w:val="28"/>
          <w:szCs w:val="28"/>
        </w:rPr>
        <w:t>профінансовано видатки у сумі 8221,6 тис.грн на виконання міських програм:</w:t>
      </w:r>
    </w:p>
    <w:p w:rsidR="00051D51" w:rsidRPr="00EE57A6" w:rsidRDefault="00051D51" w:rsidP="00051D51">
      <w:pPr>
        <w:ind w:firstLine="708"/>
        <w:jc w:val="both"/>
        <w:rPr>
          <w:color w:val="000000"/>
          <w:sz w:val="28"/>
          <w:szCs w:val="28"/>
        </w:rPr>
      </w:pPr>
      <w:r w:rsidRPr="00EE57A6">
        <w:rPr>
          <w:color w:val="000000"/>
          <w:sz w:val="28"/>
          <w:szCs w:val="28"/>
        </w:rPr>
        <w:t>Програми землеустрою в Звенигородській територіальній громаді на 2023-2025 роки – 130,0 тис.грн;</w:t>
      </w:r>
    </w:p>
    <w:p w:rsidR="00051D51" w:rsidRPr="00EE57A6" w:rsidRDefault="00051D51" w:rsidP="00051D51">
      <w:pPr>
        <w:ind w:firstLine="708"/>
        <w:jc w:val="both"/>
        <w:rPr>
          <w:color w:val="000000"/>
          <w:sz w:val="28"/>
          <w:szCs w:val="28"/>
        </w:rPr>
      </w:pPr>
      <w:r w:rsidRPr="00EE57A6">
        <w:rPr>
          <w:color w:val="000000"/>
          <w:sz w:val="28"/>
          <w:szCs w:val="28"/>
        </w:rPr>
        <w:t>Програми підтримки перевізників на 2022-2023 роки – 83,6 тис.грн;</w:t>
      </w:r>
    </w:p>
    <w:p w:rsidR="00051D51" w:rsidRPr="00EE57A6" w:rsidRDefault="00051D51" w:rsidP="00051D51">
      <w:pPr>
        <w:ind w:firstLine="708"/>
        <w:jc w:val="both"/>
        <w:rPr>
          <w:color w:val="000000"/>
          <w:sz w:val="28"/>
          <w:szCs w:val="28"/>
        </w:rPr>
      </w:pPr>
      <w:r w:rsidRPr="00EE57A6">
        <w:rPr>
          <w:color w:val="000000"/>
          <w:sz w:val="28"/>
          <w:szCs w:val="28"/>
        </w:rPr>
        <w:t>Програми ремонту та утримання автомобільних доріг загального користування державного та місцевого значення, вуличної мережі доріг та тротуарів на території Звенигородської міської ради на 2022-2023 роки у сумі 7675,3 тис.грн;</w:t>
      </w:r>
    </w:p>
    <w:p w:rsidR="00051D51" w:rsidRPr="00EE57A6" w:rsidRDefault="00051D51" w:rsidP="00051D51">
      <w:pPr>
        <w:ind w:firstLine="708"/>
        <w:jc w:val="both"/>
        <w:rPr>
          <w:color w:val="000000"/>
          <w:sz w:val="28"/>
          <w:szCs w:val="28"/>
        </w:rPr>
      </w:pPr>
      <w:r w:rsidRPr="00EE57A6">
        <w:rPr>
          <w:color w:val="000000"/>
          <w:sz w:val="28"/>
          <w:szCs w:val="28"/>
        </w:rPr>
        <w:t>Програми Трудовий архів Звенигородської міської ради  на 2021-2022 роки у сумі – 258,7 тис.грн;</w:t>
      </w:r>
    </w:p>
    <w:p w:rsidR="00051D51" w:rsidRPr="00EE57A6" w:rsidRDefault="00051D51" w:rsidP="00051D51">
      <w:pPr>
        <w:ind w:firstLine="708"/>
        <w:jc w:val="both"/>
        <w:rPr>
          <w:color w:val="000000"/>
          <w:sz w:val="28"/>
          <w:szCs w:val="28"/>
        </w:rPr>
      </w:pPr>
      <w:r w:rsidRPr="00EE57A6">
        <w:rPr>
          <w:color w:val="000000"/>
          <w:sz w:val="28"/>
          <w:szCs w:val="28"/>
        </w:rPr>
        <w:t>Програми ефективного управління майном, що належить до комунальної власності Звенигородської міської територіальної громади на 2023-2025 роки – 47,0 тис.грн;</w:t>
      </w:r>
    </w:p>
    <w:p w:rsidR="00051D51" w:rsidRPr="00EE57A6" w:rsidRDefault="00051D51" w:rsidP="00051D51">
      <w:pPr>
        <w:ind w:firstLine="708"/>
        <w:jc w:val="both"/>
        <w:rPr>
          <w:color w:val="000000"/>
          <w:sz w:val="28"/>
          <w:szCs w:val="28"/>
        </w:rPr>
      </w:pPr>
      <w:r w:rsidRPr="00EE57A6">
        <w:rPr>
          <w:color w:val="000000"/>
          <w:sz w:val="28"/>
          <w:szCs w:val="28"/>
        </w:rPr>
        <w:t>Програми про сплату членських внесків до Всеукраїнської асоціації органів місцевого самоврядування «Асоціація міст України» на 2023-2025 роки - 27,0 тис.грн.</w:t>
      </w:r>
    </w:p>
    <w:p w:rsidR="00051D51" w:rsidRPr="00EE57A6" w:rsidRDefault="00051D51" w:rsidP="00051D51">
      <w:pPr>
        <w:ind w:firstLine="708"/>
        <w:jc w:val="both"/>
        <w:rPr>
          <w:color w:val="000000"/>
          <w:sz w:val="28"/>
          <w:szCs w:val="28"/>
          <w:highlight w:val="yellow"/>
        </w:rPr>
      </w:pPr>
    </w:p>
    <w:p w:rsidR="00051D51" w:rsidRPr="00EE57A6" w:rsidRDefault="00051D51" w:rsidP="00051D51">
      <w:pPr>
        <w:ind w:firstLine="708"/>
        <w:jc w:val="both"/>
        <w:rPr>
          <w:color w:val="000000"/>
          <w:sz w:val="28"/>
          <w:szCs w:val="28"/>
        </w:rPr>
      </w:pPr>
      <w:r w:rsidRPr="00EE57A6">
        <w:rPr>
          <w:color w:val="000000"/>
          <w:sz w:val="28"/>
          <w:szCs w:val="28"/>
        </w:rPr>
        <w:t xml:space="preserve">По галузі </w:t>
      </w:r>
      <w:r w:rsidRPr="00EE57A6">
        <w:rPr>
          <w:bCs/>
          <w:color w:val="000000"/>
          <w:sz w:val="28"/>
          <w:szCs w:val="28"/>
        </w:rPr>
        <w:t xml:space="preserve">"Інша діяльність" </w:t>
      </w:r>
      <w:r w:rsidRPr="00EE57A6">
        <w:rPr>
          <w:color w:val="000000"/>
          <w:sz w:val="28"/>
          <w:szCs w:val="28"/>
        </w:rPr>
        <w:t>профінансовано видатки  у сумі 820,9 тис.грн на:</w:t>
      </w:r>
    </w:p>
    <w:p w:rsidR="00051D51" w:rsidRPr="00EE57A6" w:rsidRDefault="00051D51" w:rsidP="00051D51">
      <w:pPr>
        <w:ind w:firstLine="708"/>
        <w:jc w:val="both"/>
        <w:rPr>
          <w:color w:val="000000"/>
          <w:sz w:val="28"/>
          <w:szCs w:val="28"/>
        </w:rPr>
      </w:pPr>
      <w:r w:rsidRPr="00EE57A6">
        <w:rPr>
          <w:color w:val="000000"/>
          <w:sz w:val="28"/>
          <w:szCs w:val="28"/>
        </w:rPr>
        <w:t xml:space="preserve"> проведення заходів  із запобігання та ліквідації надзвичайних ситуацій та наслідків стихійного лиха – 1,1 тис.грн;</w:t>
      </w:r>
    </w:p>
    <w:p w:rsidR="00051D51" w:rsidRPr="00EE57A6" w:rsidRDefault="00051D51" w:rsidP="00051D51">
      <w:pPr>
        <w:ind w:firstLine="708"/>
        <w:jc w:val="both"/>
        <w:rPr>
          <w:color w:val="000000"/>
          <w:sz w:val="28"/>
          <w:szCs w:val="28"/>
        </w:rPr>
      </w:pPr>
      <w:r w:rsidRPr="00EE57A6">
        <w:rPr>
          <w:color w:val="000000"/>
          <w:sz w:val="28"/>
          <w:szCs w:val="28"/>
        </w:rPr>
        <w:t>виконання Програми підтримки регіонів, найбільш постраждалих внаслідок агресії російської федерації на 2023 рік – 130,2 тис.грн;</w:t>
      </w:r>
    </w:p>
    <w:p w:rsidR="00051D51" w:rsidRPr="00EE57A6" w:rsidRDefault="00051D51" w:rsidP="00051D51">
      <w:pPr>
        <w:ind w:firstLine="708"/>
        <w:jc w:val="both"/>
        <w:rPr>
          <w:color w:val="000000"/>
          <w:sz w:val="28"/>
          <w:szCs w:val="28"/>
        </w:rPr>
      </w:pPr>
      <w:r w:rsidRPr="00EE57A6">
        <w:rPr>
          <w:color w:val="000000"/>
          <w:sz w:val="28"/>
          <w:szCs w:val="28"/>
        </w:rPr>
        <w:t>виконання Програми розвитку територіальної оборони Звенигородської міської територіальної громади  для військової частини  А7325 Сил територіальної оборони Збройних Сил України на 2022–2025 роки – 670,0 тис.грн;</w:t>
      </w:r>
    </w:p>
    <w:p w:rsidR="00051D51" w:rsidRPr="00EE57A6" w:rsidRDefault="00051D51" w:rsidP="00051D51">
      <w:pPr>
        <w:ind w:firstLine="708"/>
        <w:jc w:val="both"/>
        <w:rPr>
          <w:color w:val="000000"/>
          <w:sz w:val="28"/>
          <w:szCs w:val="28"/>
        </w:rPr>
      </w:pPr>
      <w:r w:rsidRPr="00EE57A6">
        <w:rPr>
          <w:color w:val="000000"/>
          <w:sz w:val="28"/>
          <w:szCs w:val="28"/>
        </w:rPr>
        <w:t>виконання Програми організації рятування людей на водних об’єктах на 2021-2023 роки – 13,1 тис.грн;</w:t>
      </w:r>
    </w:p>
    <w:p w:rsidR="00051D51" w:rsidRPr="00EE57A6" w:rsidRDefault="00051D51" w:rsidP="00051D51">
      <w:pPr>
        <w:ind w:firstLine="708"/>
        <w:jc w:val="both"/>
        <w:rPr>
          <w:color w:val="000000"/>
          <w:sz w:val="28"/>
          <w:szCs w:val="28"/>
        </w:rPr>
      </w:pPr>
      <w:r w:rsidRPr="00EE57A6">
        <w:rPr>
          <w:color w:val="000000"/>
          <w:sz w:val="28"/>
          <w:szCs w:val="28"/>
        </w:rPr>
        <w:t>виконання Програми охорони навколишнього природнього середовища в Звенигородській територіальній громаді на 2023-2025 роки – 6,5 тис.грн.</w:t>
      </w:r>
      <w:r w:rsidRPr="00EE57A6">
        <w:rPr>
          <w:color w:val="000000"/>
          <w:sz w:val="28"/>
          <w:szCs w:val="28"/>
        </w:rPr>
        <w:tab/>
      </w:r>
    </w:p>
    <w:p w:rsidR="00051D51" w:rsidRPr="00EE57A6" w:rsidRDefault="00051D51" w:rsidP="00051D51">
      <w:pPr>
        <w:jc w:val="both"/>
        <w:rPr>
          <w:color w:val="000000"/>
          <w:sz w:val="28"/>
          <w:szCs w:val="28"/>
        </w:rPr>
      </w:pPr>
    </w:p>
    <w:p w:rsidR="00051D51" w:rsidRPr="00EE57A6" w:rsidRDefault="00051D51" w:rsidP="00051D51">
      <w:pPr>
        <w:ind w:firstLine="709"/>
        <w:jc w:val="both"/>
        <w:rPr>
          <w:color w:val="000000"/>
          <w:sz w:val="28"/>
          <w:szCs w:val="28"/>
        </w:rPr>
      </w:pPr>
      <w:r w:rsidRPr="00EE57A6">
        <w:rPr>
          <w:color w:val="000000"/>
          <w:sz w:val="28"/>
          <w:szCs w:val="28"/>
        </w:rPr>
        <w:t>До державного бюджету перераховано субвенцію на виконання програм соціально-економічного розвитку регіонів у сумі 1027,8 тис.грн на виконання міських програм:</w:t>
      </w:r>
    </w:p>
    <w:p w:rsidR="00051D51" w:rsidRPr="00EE57A6" w:rsidRDefault="00051D51" w:rsidP="00051D51">
      <w:pPr>
        <w:ind w:firstLine="709"/>
        <w:jc w:val="both"/>
        <w:rPr>
          <w:color w:val="000000"/>
          <w:sz w:val="28"/>
          <w:szCs w:val="28"/>
        </w:rPr>
      </w:pPr>
      <w:r w:rsidRPr="00EE57A6">
        <w:rPr>
          <w:color w:val="000000"/>
          <w:sz w:val="28"/>
          <w:szCs w:val="28"/>
        </w:rPr>
        <w:t xml:space="preserve"> Програми організаційного забезпечення діяльності роботи Звенигородського міськрайонного сектору філії Державної установи «Центр пробації»  в Черкаській області на період 2021 -2023 роки – 17,8 тис.грн;</w:t>
      </w:r>
    </w:p>
    <w:p w:rsidR="00051D51" w:rsidRPr="00EE57A6" w:rsidRDefault="00051D51" w:rsidP="00051D51">
      <w:pPr>
        <w:ind w:firstLine="709"/>
        <w:jc w:val="both"/>
        <w:rPr>
          <w:color w:val="000000"/>
          <w:sz w:val="28"/>
          <w:szCs w:val="28"/>
        </w:rPr>
      </w:pPr>
      <w:r w:rsidRPr="00EE57A6">
        <w:rPr>
          <w:color w:val="000000"/>
          <w:sz w:val="28"/>
          <w:szCs w:val="28"/>
        </w:rPr>
        <w:t>комплексної Програми функціонування та розвитку системи цивільного захисту, забезпечення пожежної та техногенної безпеки Звенигородської міської територіальної громади на 2021–2025 роки – 150,0 тис.грн;</w:t>
      </w:r>
    </w:p>
    <w:p w:rsidR="00051D51" w:rsidRPr="00EE57A6" w:rsidRDefault="00051D51" w:rsidP="00051D51">
      <w:pPr>
        <w:ind w:firstLine="709"/>
        <w:jc w:val="both"/>
        <w:rPr>
          <w:color w:val="000000"/>
          <w:sz w:val="28"/>
          <w:szCs w:val="28"/>
        </w:rPr>
      </w:pPr>
      <w:r w:rsidRPr="00EE57A6">
        <w:rPr>
          <w:color w:val="000000"/>
          <w:sz w:val="28"/>
          <w:szCs w:val="28"/>
        </w:rPr>
        <w:t>Програми «Протидії тероризму на території Звенигородської міської ради на 2021-2025 роки» - 40,0 тис.грн;</w:t>
      </w:r>
    </w:p>
    <w:p w:rsidR="00051D51" w:rsidRPr="00EE57A6" w:rsidRDefault="00051D51" w:rsidP="00051D51">
      <w:pPr>
        <w:ind w:firstLine="709"/>
        <w:jc w:val="both"/>
        <w:rPr>
          <w:color w:val="000000"/>
          <w:sz w:val="28"/>
          <w:szCs w:val="28"/>
        </w:rPr>
      </w:pPr>
      <w:r w:rsidRPr="00EE57A6">
        <w:rPr>
          <w:color w:val="000000"/>
          <w:sz w:val="28"/>
          <w:szCs w:val="28"/>
        </w:rPr>
        <w:t>Програми профілактики злочинності на 2021-2025 роки – 400,0 тис.грн;</w:t>
      </w:r>
    </w:p>
    <w:p w:rsidR="00051D51" w:rsidRPr="00EE57A6" w:rsidRDefault="00051D51" w:rsidP="00051D51">
      <w:pPr>
        <w:ind w:firstLine="709"/>
        <w:jc w:val="both"/>
        <w:rPr>
          <w:color w:val="000000"/>
          <w:sz w:val="28"/>
          <w:szCs w:val="28"/>
        </w:rPr>
      </w:pPr>
      <w:r w:rsidRPr="00EE57A6">
        <w:rPr>
          <w:color w:val="000000"/>
          <w:sz w:val="28"/>
          <w:szCs w:val="28"/>
        </w:rPr>
        <w:t>Програми підвищення ефективності забезпечення доступу до правосуддя в Звенигородській міській територіальній громаді Звенигородського району Черкаської області на  2022-2025 роки – 10,0 тис.грн;</w:t>
      </w:r>
    </w:p>
    <w:p w:rsidR="00051D51" w:rsidRPr="00EE57A6" w:rsidRDefault="00051D51" w:rsidP="00051D51">
      <w:pPr>
        <w:ind w:firstLine="709"/>
        <w:jc w:val="both"/>
        <w:rPr>
          <w:color w:val="000000"/>
          <w:sz w:val="28"/>
          <w:szCs w:val="28"/>
        </w:rPr>
      </w:pPr>
      <w:r w:rsidRPr="00EE57A6">
        <w:rPr>
          <w:color w:val="000000"/>
          <w:sz w:val="28"/>
          <w:szCs w:val="28"/>
        </w:rPr>
        <w:t>Програми «Підвищення ефективності забезпечення громадського порядку та безпеки в судах, органах та установах системи правосуддя Звенигородської міської ради на 2021-2025 роки» - 30,0 тис.грн;</w:t>
      </w:r>
    </w:p>
    <w:p w:rsidR="00051D51" w:rsidRPr="00EE57A6" w:rsidRDefault="00051D51" w:rsidP="00051D51">
      <w:pPr>
        <w:pStyle w:val="a3"/>
        <w:ind w:firstLine="708"/>
        <w:rPr>
          <w:color w:val="000000"/>
        </w:rPr>
      </w:pPr>
      <w:r w:rsidRPr="00EE57A6">
        <w:rPr>
          <w:color w:val="000000"/>
        </w:rPr>
        <w:t>Програми фінансової підтримки працівників управління соціального захисту населення Звенигородської районної державної адміністрації Черкаської області на 2023 рік Звенигородською міською територіальною громадою -270,0 тис.грн;</w:t>
      </w:r>
    </w:p>
    <w:p w:rsidR="00051D51" w:rsidRPr="00EE57A6" w:rsidRDefault="00051D51" w:rsidP="00051D51">
      <w:pPr>
        <w:pStyle w:val="a3"/>
        <w:ind w:firstLine="708"/>
        <w:rPr>
          <w:color w:val="000000"/>
        </w:rPr>
      </w:pPr>
      <w:r w:rsidRPr="00EE57A6">
        <w:rPr>
          <w:color w:val="000000"/>
        </w:rPr>
        <w:t>Програми підтримки органів виконавчої влади Звенигородського району на 2022-2025 роки – 110,0 тис.грн.</w:t>
      </w:r>
    </w:p>
    <w:p w:rsidR="00051D51" w:rsidRPr="00EE57A6" w:rsidRDefault="00051D51" w:rsidP="00051D51">
      <w:pPr>
        <w:ind w:firstLine="709"/>
        <w:jc w:val="both"/>
        <w:rPr>
          <w:color w:val="000000"/>
          <w:sz w:val="28"/>
          <w:szCs w:val="28"/>
        </w:rPr>
      </w:pPr>
      <w:r w:rsidRPr="00EE57A6">
        <w:rPr>
          <w:color w:val="000000"/>
          <w:sz w:val="28"/>
          <w:szCs w:val="28"/>
        </w:rPr>
        <w:t xml:space="preserve">      </w:t>
      </w:r>
    </w:p>
    <w:p w:rsidR="00051D51" w:rsidRPr="00EE57A6" w:rsidRDefault="00051D51" w:rsidP="00051D51">
      <w:pPr>
        <w:ind w:firstLine="708"/>
        <w:jc w:val="both"/>
        <w:rPr>
          <w:color w:val="000000"/>
          <w:sz w:val="28"/>
          <w:szCs w:val="28"/>
        </w:rPr>
      </w:pPr>
      <w:r w:rsidRPr="00EE57A6">
        <w:rPr>
          <w:color w:val="000000"/>
          <w:sz w:val="28"/>
          <w:szCs w:val="28"/>
        </w:rPr>
        <w:t xml:space="preserve">До обласного бюджету перерахована інша субвенція на виконання  Програми надання шефської допомоги, фінансування заходів, спрямованих на підвищення рівня бойової готовності військових частин Збройних Сил України, Національної гвардії України, Державної прикордонної служби України, </w:t>
      </w:r>
      <w:r w:rsidRPr="00EE57A6">
        <w:rPr>
          <w:color w:val="000000"/>
          <w:sz w:val="28"/>
          <w:szCs w:val="28"/>
        </w:rPr>
        <w:lastRenderedPageBreak/>
        <w:t>територіальних центрів комплектування та соціальної підтримки та інших заходів територіальної оборони  на 2023 рік  у сумі 300,0 тис.грн.</w:t>
      </w:r>
    </w:p>
    <w:p w:rsidR="00051D51" w:rsidRPr="00EE57A6" w:rsidRDefault="00051D51" w:rsidP="00051D51">
      <w:pPr>
        <w:ind w:firstLine="709"/>
        <w:jc w:val="both"/>
        <w:rPr>
          <w:color w:val="000000"/>
          <w:sz w:val="28"/>
          <w:szCs w:val="28"/>
        </w:rPr>
      </w:pPr>
    </w:p>
    <w:p w:rsidR="00051D51" w:rsidRPr="00EE57A6" w:rsidRDefault="00051D51" w:rsidP="00051D51">
      <w:pPr>
        <w:pStyle w:val="2"/>
        <w:ind w:firstLine="567"/>
        <w:rPr>
          <w:color w:val="000000"/>
          <w:szCs w:val="28"/>
        </w:rPr>
      </w:pPr>
      <w:r w:rsidRPr="00EE57A6">
        <w:rPr>
          <w:color w:val="000000"/>
          <w:szCs w:val="28"/>
        </w:rPr>
        <w:tab/>
        <w:t>Видатки спеціального фонду бюджету громади виконано у сумі – 28780,8 тис.грн за рахунок:</w:t>
      </w:r>
    </w:p>
    <w:p w:rsidR="00051D51" w:rsidRPr="00EE57A6" w:rsidRDefault="00051D51" w:rsidP="00051D51">
      <w:pPr>
        <w:pStyle w:val="2"/>
        <w:ind w:firstLine="567"/>
        <w:rPr>
          <w:color w:val="000000"/>
          <w:szCs w:val="28"/>
        </w:rPr>
      </w:pPr>
      <w:r w:rsidRPr="00EE57A6">
        <w:rPr>
          <w:color w:val="000000"/>
          <w:szCs w:val="28"/>
        </w:rPr>
        <w:t xml:space="preserve">  власних надходжень бюджетних установ – 9147,2 тис.грн;</w:t>
      </w:r>
    </w:p>
    <w:p w:rsidR="00051D51" w:rsidRPr="00EE57A6" w:rsidRDefault="00051D51" w:rsidP="00051D51">
      <w:pPr>
        <w:ind w:firstLine="698"/>
        <w:jc w:val="both"/>
        <w:rPr>
          <w:noProof/>
          <w:color w:val="000000"/>
          <w:sz w:val="28"/>
          <w:szCs w:val="28"/>
        </w:rPr>
      </w:pPr>
      <w:r w:rsidRPr="00EE57A6">
        <w:rPr>
          <w:noProof/>
          <w:color w:val="000000"/>
          <w:sz w:val="28"/>
          <w:szCs w:val="28"/>
        </w:rPr>
        <w:t>надходжень до цільових фондів у сумі 19,0 тис.грн;</w:t>
      </w:r>
    </w:p>
    <w:p w:rsidR="00051D51" w:rsidRPr="00EE57A6" w:rsidRDefault="00051D51" w:rsidP="00051D51">
      <w:pPr>
        <w:ind w:firstLine="708"/>
        <w:jc w:val="both"/>
        <w:rPr>
          <w:color w:val="000000"/>
          <w:sz w:val="28"/>
          <w:szCs w:val="28"/>
        </w:rPr>
      </w:pPr>
      <w:r w:rsidRPr="00EE57A6">
        <w:rPr>
          <w:color w:val="000000"/>
          <w:sz w:val="28"/>
          <w:szCs w:val="28"/>
        </w:rPr>
        <w:t>коштів бюджету розвитку у сумі 19297,8 тис.грн, з них  до державного бюджету перераховано субвенції у сумі 3440,4 тис.грн на виконання:</w:t>
      </w:r>
    </w:p>
    <w:p w:rsidR="00051D51" w:rsidRPr="00EE57A6" w:rsidRDefault="00051D51" w:rsidP="00051D51">
      <w:pPr>
        <w:ind w:firstLine="708"/>
        <w:jc w:val="both"/>
        <w:rPr>
          <w:color w:val="000000"/>
          <w:sz w:val="28"/>
          <w:szCs w:val="28"/>
        </w:rPr>
      </w:pPr>
      <w:r w:rsidRPr="00EE57A6">
        <w:rPr>
          <w:color w:val="000000"/>
          <w:sz w:val="28"/>
          <w:szCs w:val="28"/>
        </w:rPr>
        <w:t xml:space="preserve"> Програми  розвитку територіальної оборони Звенигородської міської територіальної громади  для військової частини  А7325 Сил територіальної оборони Збройних Сил України на 2022–2025 роки у сумі 2420,4 тис.грн;</w:t>
      </w:r>
    </w:p>
    <w:p w:rsidR="00051D51" w:rsidRPr="00EE57A6" w:rsidRDefault="00051D51" w:rsidP="00051D51">
      <w:pPr>
        <w:ind w:firstLine="709"/>
        <w:jc w:val="both"/>
        <w:rPr>
          <w:sz w:val="28"/>
          <w:szCs w:val="28"/>
        </w:rPr>
      </w:pPr>
      <w:r w:rsidRPr="00EE57A6">
        <w:rPr>
          <w:color w:val="000000"/>
          <w:sz w:val="28"/>
          <w:szCs w:val="28"/>
        </w:rPr>
        <w:t xml:space="preserve">Програми покращення надання адміністративних послуг в територіальному сервісному центрі №7143 Регіонального сервісного центру ГСЦ МВС в Черкаській області </w:t>
      </w:r>
      <w:r w:rsidRPr="00EE57A6">
        <w:rPr>
          <w:sz w:val="28"/>
          <w:szCs w:val="28"/>
        </w:rPr>
        <w:t xml:space="preserve">(філія ГСЦ МВС)  </w:t>
      </w:r>
      <w:r w:rsidRPr="00EE57A6">
        <w:rPr>
          <w:color w:val="000000"/>
          <w:sz w:val="28"/>
          <w:szCs w:val="28"/>
        </w:rPr>
        <w:t>в 2023-2025 роках – 400,0 тис.грн;</w:t>
      </w:r>
    </w:p>
    <w:p w:rsidR="00051D51" w:rsidRPr="00EE57A6" w:rsidRDefault="00051D51" w:rsidP="00051D51">
      <w:pPr>
        <w:ind w:firstLine="709"/>
        <w:jc w:val="both"/>
        <w:rPr>
          <w:sz w:val="28"/>
          <w:szCs w:val="28"/>
        </w:rPr>
      </w:pPr>
      <w:r w:rsidRPr="00EE57A6">
        <w:rPr>
          <w:color w:val="000000"/>
          <w:sz w:val="28"/>
          <w:szCs w:val="28"/>
        </w:rPr>
        <w:t>Програми  фінансової підтримки Звенигородського районного територіального центру комплектування та соціальної підтримки на 2023-2024 роки – 620,0 тис.грн</w:t>
      </w:r>
      <w:r w:rsidRPr="00EE57A6">
        <w:rPr>
          <w:rFonts w:eastAsia="MS Mincho"/>
          <w:noProof/>
          <w:sz w:val="28"/>
          <w:szCs w:val="28"/>
        </w:rPr>
        <w:t>.</w:t>
      </w:r>
    </w:p>
    <w:p w:rsidR="00051D51" w:rsidRPr="00EE57A6" w:rsidRDefault="00051D51" w:rsidP="00051D51">
      <w:pPr>
        <w:jc w:val="both"/>
        <w:rPr>
          <w:color w:val="000000"/>
          <w:sz w:val="28"/>
          <w:szCs w:val="28"/>
        </w:rPr>
      </w:pPr>
      <w:r w:rsidRPr="00EE57A6">
        <w:rPr>
          <w:color w:val="000000"/>
          <w:sz w:val="28"/>
          <w:szCs w:val="28"/>
        </w:rPr>
        <w:t xml:space="preserve">         </w:t>
      </w:r>
      <w:r w:rsidRPr="00EE57A6">
        <w:rPr>
          <w:noProof/>
          <w:color w:val="000000"/>
          <w:sz w:val="28"/>
          <w:szCs w:val="28"/>
        </w:rPr>
        <w:t>коштів екологічного податку</w:t>
      </w:r>
      <w:r w:rsidRPr="00EE57A6">
        <w:rPr>
          <w:color w:val="000000"/>
          <w:sz w:val="28"/>
          <w:szCs w:val="28"/>
        </w:rPr>
        <w:t xml:space="preserve"> – 166,9 грн;</w:t>
      </w:r>
    </w:p>
    <w:p w:rsidR="00051D51" w:rsidRPr="00EE57A6" w:rsidRDefault="00051D51" w:rsidP="00051D51">
      <w:pPr>
        <w:jc w:val="both"/>
        <w:rPr>
          <w:b/>
          <w:color w:val="000000"/>
          <w:sz w:val="28"/>
          <w:szCs w:val="28"/>
        </w:rPr>
      </w:pPr>
      <w:r w:rsidRPr="00EE57A6">
        <w:rPr>
          <w:color w:val="000000"/>
          <w:sz w:val="28"/>
          <w:szCs w:val="28"/>
          <w:shd w:val="clear" w:color="auto" w:fill="FFFFFF"/>
        </w:rPr>
        <w:t xml:space="preserve">         коштів, що надходять у порядку відшкодування втрат сільськогосподарського і лісогосподарського виробництва  149,9 тис.грн.</w:t>
      </w:r>
    </w:p>
    <w:p w:rsidR="00051D51" w:rsidRPr="00EE57A6" w:rsidRDefault="00051D51" w:rsidP="00051D51">
      <w:pPr>
        <w:jc w:val="both"/>
        <w:rPr>
          <w:b/>
          <w:color w:val="000000"/>
          <w:sz w:val="28"/>
        </w:rPr>
      </w:pPr>
    </w:p>
    <w:p w:rsidR="00051D51" w:rsidRPr="00EE57A6" w:rsidRDefault="00051D51" w:rsidP="00051D51">
      <w:pPr>
        <w:ind w:firstLine="567"/>
        <w:jc w:val="center"/>
        <w:rPr>
          <w:color w:val="000000"/>
          <w:sz w:val="28"/>
          <w:highlight w:val="yellow"/>
        </w:rPr>
      </w:pPr>
    </w:p>
    <w:p w:rsidR="00051D51" w:rsidRPr="00EE57A6" w:rsidRDefault="00051D51" w:rsidP="00051D51">
      <w:pPr>
        <w:ind w:firstLine="567"/>
        <w:jc w:val="center"/>
        <w:rPr>
          <w:color w:val="000000"/>
          <w:sz w:val="28"/>
          <w:highlight w:val="yellow"/>
        </w:rPr>
      </w:pPr>
    </w:p>
    <w:p w:rsidR="008C19EE" w:rsidRDefault="008C19EE">
      <w:bookmarkStart w:id="0" w:name="_GoBack"/>
      <w:bookmarkEnd w:id="0"/>
    </w:p>
    <w:sectPr w:rsidR="008C19EE" w:rsidSect="00C83F1C">
      <w:headerReference w:type="even" r:id="rId16"/>
      <w:headerReference w:type="default" r:id="rId17"/>
      <w:footerReference w:type="even" r:id="rId18"/>
      <w:footerReference w:type="default" r:id="rId19"/>
      <w:type w:val="continuous"/>
      <w:pgSz w:w="11907" w:h="16840" w:code="9"/>
      <w:pgMar w:top="1134" w:right="737" w:bottom="851" w:left="1531" w:header="426"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861" w:rsidRDefault="00051D5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53861" w:rsidRDefault="00051D51">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861" w:rsidRDefault="00051D51" w:rsidP="003F60D3">
    <w:pPr>
      <w:pStyle w:val="a5"/>
      <w:tabs>
        <w:tab w:val="clear" w:pos="4677"/>
        <w:tab w:val="clear" w:pos="9355"/>
        <w:tab w:val="left" w:pos="1605"/>
      </w:tabs>
      <w:ind w:right="360"/>
    </w:pPr>
    <w:r>
      <w:tab/>
    </w:r>
  </w:p>
  <w:p w:rsidR="00253861" w:rsidRPr="00E875FD" w:rsidRDefault="00051D51">
    <w:pPr>
      <w:pStyle w:val="a5"/>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861" w:rsidRDefault="00051D5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53861" w:rsidRDefault="00051D51">
    <w:pPr>
      <w:pStyle w:val="a5"/>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861" w:rsidRDefault="00051D51" w:rsidP="003F60D3">
    <w:pPr>
      <w:pStyle w:val="a5"/>
      <w:tabs>
        <w:tab w:val="clear" w:pos="4677"/>
        <w:tab w:val="clear" w:pos="9355"/>
        <w:tab w:val="left" w:pos="1605"/>
      </w:tabs>
      <w:ind w:right="360"/>
    </w:pPr>
    <w:r>
      <w:tab/>
    </w:r>
  </w:p>
  <w:p w:rsidR="00253861" w:rsidRPr="00E875FD" w:rsidRDefault="00051D51">
    <w:pPr>
      <w:pStyle w:val="a5"/>
      <w:ind w:right="360"/>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861" w:rsidRDefault="00051D51" w:rsidP="00E875FD">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53861" w:rsidRDefault="00051D51" w:rsidP="00E875FD">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861" w:rsidRPr="00E875FD" w:rsidRDefault="00051D51" w:rsidP="003F60D3">
    <w:pPr>
      <w:pStyle w:val="a9"/>
      <w:framePr w:wrap="around" w:vAnchor="text" w:hAnchor="page" w:x="6166" w:y="406"/>
      <w:jc w:val="center"/>
      <w:rPr>
        <w:rStyle w:val="a7"/>
        <w:sz w:val="25"/>
        <w:szCs w:val="25"/>
      </w:rPr>
    </w:pPr>
    <w:r w:rsidRPr="00E875FD">
      <w:rPr>
        <w:rStyle w:val="a7"/>
        <w:sz w:val="25"/>
        <w:szCs w:val="25"/>
      </w:rPr>
      <w:fldChar w:fldCharType="begin"/>
    </w:r>
    <w:r w:rsidRPr="00E875FD">
      <w:rPr>
        <w:rStyle w:val="a7"/>
        <w:sz w:val="25"/>
        <w:szCs w:val="25"/>
      </w:rPr>
      <w:instrText xml:space="preserve">PAGE  </w:instrText>
    </w:r>
    <w:r w:rsidRPr="00E875FD">
      <w:rPr>
        <w:rStyle w:val="a7"/>
        <w:sz w:val="25"/>
        <w:szCs w:val="25"/>
      </w:rPr>
      <w:fldChar w:fldCharType="separate"/>
    </w:r>
    <w:r>
      <w:rPr>
        <w:rStyle w:val="a7"/>
        <w:noProof/>
        <w:sz w:val="25"/>
        <w:szCs w:val="25"/>
      </w:rPr>
      <w:t>7</w:t>
    </w:r>
    <w:r w:rsidRPr="00E875FD">
      <w:rPr>
        <w:rStyle w:val="a7"/>
        <w:sz w:val="25"/>
        <w:szCs w:val="25"/>
      </w:rPr>
      <w:fldChar w:fldCharType="end"/>
    </w:r>
  </w:p>
  <w:p w:rsidR="00253861" w:rsidRDefault="00051D51" w:rsidP="00E875FD">
    <w:pPr>
      <w:pStyle w:val="a9"/>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861" w:rsidRDefault="00051D51" w:rsidP="00E875FD">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53861" w:rsidRDefault="00051D51" w:rsidP="00E875FD">
    <w:pPr>
      <w:pStyle w:val="a9"/>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861" w:rsidRPr="00E875FD" w:rsidRDefault="00051D51" w:rsidP="003F60D3">
    <w:pPr>
      <w:pStyle w:val="a9"/>
      <w:framePr w:wrap="around" w:vAnchor="text" w:hAnchor="page" w:x="6166" w:y="406"/>
      <w:jc w:val="center"/>
      <w:rPr>
        <w:rStyle w:val="a7"/>
        <w:sz w:val="25"/>
        <w:szCs w:val="25"/>
      </w:rPr>
    </w:pPr>
    <w:r w:rsidRPr="00E875FD">
      <w:rPr>
        <w:rStyle w:val="a7"/>
        <w:sz w:val="25"/>
        <w:szCs w:val="25"/>
      </w:rPr>
      <w:fldChar w:fldCharType="begin"/>
    </w:r>
    <w:r w:rsidRPr="00E875FD">
      <w:rPr>
        <w:rStyle w:val="a7"/>
        <w:sz w:val="25"/>
        <w:szCs w:val="25"/>
      </w:rPr>
      <w:instrText xml:space="preserve">PAGE  </w:instrText>
    </w:r>
    <w:r w:rsidRPr="00E875FD">
      <w:rPr>
        <w:rStyle w:val="a7"/>
        <w:sz w:val="25"/>
        <w:szCs w:val="25"/>
      </w:rPr>
      <w:fldChar w:fldCharType="separate"/>
    </w:r>
    <w:r>
      <w:rPr>
        <w:rStyle w:val="a7"/>
        <w:noProof/>
        <w:sz w:val="25"/>
        <w:szCs w:val="25"/>
      </w:rPr>
      <w:t>8</w:t>
    </w:r>
    <w:r w:rsidRPr="00E875FD">
      <w:rPr>
        <w:rStyle w:val="a7"/>
        <w:sz w:val="25"/>
        <w:szCs w:val="25"/>
      </w:rPr>
      <w:fldChar w:fldCharType="end"/>
    </w:r>
  </w:p>
  <w:p w:rsidR="00253861" w:rsidRDefault="00051D51" w:rsidP="00E875FD">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169D5"/>
    <w:multiLevelType w:val="hybridMultilevel"/>
    <w:tmpl w:val="CC7074F0"/>
    <w:lvl w:ilvl="0" w:tplc="2B744D4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FB1"/>
    <w:rsid w:val="00051D51"/>
    <w:rsid w:val="00084FB1"/>
    <w:rsid w:val="008C1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9323F7-7347-444C-B416-7C428C103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D51"/>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1D51"/>
    <w:rPr>
      <w:sz w:val="28"/>
      <w:szCs w:val="28"/>
    </w:rPr>
  </w:style>
  <w:style w:type="character" w:customStyle="1" w:styleId="a4">
    <w:name w:val="Основной текст Знак"/>
    <w:basedOn w:val="a0"/>
    <w:link w:val="a3"/>
    <w:rsid w:val="00051D51"/>
    <w:rPr>
      <w:rFonts w:ascii="Times New Roman" w:eastAsia="Times New Roman" w:hAnsi="Times New Roman" w:cs="Times New Roman"/>
      <w:sz w:val="28"/>
      <w:szCs w:val="28"/>
      <w:lang w:val="uk-UA" w:eastAsia="ru-RU"/>
    </w:rPr>
  </w:style>
  <w:style w:type="paragraph" w:styleId="2">
    <w:name w:val="Body Text Indent 2"/>
    <w:basedOn w:val="a"/>
    <w:link w:val="20"/>
    <w:rsid w:val="00051D51"/>
    <w:pPr>
      <w:ind w:firstLine="480"/>
      <w:jc w:val="both"/>
    </w:pPr>
    <w:rPr>
      <w:sz w:val="28"/>
    </w:rPr>
  </w:style>
  <w:style w:type="character" w:customStyle="1" w:styleId="20">
    <w:name w:val="Основной текст с отступом 2 Знак"/>
    <w:basedOn w:val="a0"/>
    <w:link w:val="2"/>
    <w:rsid w:val="00051D51"/>
    <w:rPr>
      <w:rFonts w:ascii="Times New Roman" w:eastAsia="Times New Roman" w:hAnsi="Times New Roman" w:cs="Times New Roman"/>
      <w:sz w:val="28"/>
      <w:szCs w:val="20"/>
      <w:lang w:val="uk-UA" w:eastAsia="ru-RU"/>
    </w:rPr>
  </w:style>
  <w:style w:type="paragraph" w:styleId="a5">
    <w:name w:val="footer"/>
    <w:basedOn w:val="a"/>
    <w:link w:val="a6"/>
    <w:rsid w:val="00051D51"/>
    <w:pPr>
      <w:tabs>
        <w:tab w:val="center" w:pos="4677"/>
        <w:tab w:val="right" w:pos="9355"/>
      </w:tabs>
    </w:pPr>
  </w:style>
  <w:style w:type="character" w:customStyle="1" w:styleId="a6">
    <w:name w:val="Нижний колонтитул Знак"/>
    <w:basedOn w:val="a0"/>
    <w:link w:val="a5"/>
    <w:rsid w:val="00051D51"/>
    <w:rPr>
      <w:rFonts w:ascii="Times New Roman" w:eastAsia="Times New Roman" w:hAnsi="Times New Roman" w:cs="Times New Roman"/>
      <w:sz w:val="20"/>
      <w:szCs w:val="20"/>
      <w:lang w:val="uk-UA" w:eastAsia="ru-RU"/>
    </w:rPr>
  </w:style>
  <w:style w:type="character" w:styleId="a7">
    <w:name w:val="page number"/>
    <w:basedOn w:val="a0"/>
    <w:rsid w:val="00051D51"/>
  </w:style>
  <w:style w:type="character" w:styleId="a8">
    <w:name w:val="Emphasis"/>
    <w:qFormat/>
    <w:rsid w:val="00051D51"/>
    <w:rPr>
      <w:i/>
      <w:iCs/>
    </w:rPr>
  </w:style>
  <w:style w:type="paragraph" w:styleId="a9">
    <w:name w:val="header"/>
    <w:basedOn w:val="a"/>
    <w:link w:val="aa"/>
    <w:rsid w:val="00051D51"/>
    <w:pPr>
      <w:tabs>
        <w:tab w:val="center" w:pos="4819"/>
        <w:tab w:val="right" w:pos="9639"/>
      </w:tabs>
    </w:pPr>
  </w:style>
  <w:style w:type="character" w:customStyle="1" w:styleId="aa">
    <w:name w:val="Верхний колонтитул Знак"/>
    <w:basedOn w:val="a0"/>
    <w:link w:val="a9"/>
    <w:rsid w:val="00051D51"/>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hart" Target="charts/chart3.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5.xml"/><Relationship Id="rId5" Type="http://schemas.openxmlformats.org/officeDocument/2006/relationships/chart" Target="charts/chart1.xml"/><Relationship Id="rId15" Type="http://schemas.openxmlformats.org/officeDocument/2006/relationships/footer" Target="footer2.xml"/><Relationship Id="rId10" Type="http://schemas.openxmlformats.org/officeDocument/2006/relationships/chart" Target="charts/chart4.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1%20%20&#1056;&#1086;&#1073;&#1086;&#1095;&#1072;\&#1044;&#1054;&#1061;&#1054;&#1044;&#1048;\2023\&#1051;&#1080;&#1089;&#1090;&#1080;\&#1052;i&#1089;&#1090;&#1086;,%20&#1089;&#1077;&#1083;&#1072;\&#1044;&#1086;&#1087;&#1086;&#1074;i&#1076;&#1085;&#1072;\&#1047;&#1072;%2009%20&#1084;i&#1089;.2023&#1088;\&#1044;i&#1072;&#1075;&#1088;&#1072;&#1084;&#1072;%20&#1076;&#1086;&#1093;&#1086;&#1076;&#1080;.%20&#1074;&#1080;&#1076;&#1072;&#1090;&#1082;&#1080;%209%20&#1084;&#1110;&#1089;&#1103;&#1094;&#1110;&#1074;.2023%20&#1047;&#1060;,%20&#1057;&#1060;%20.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D:\1%20%20&#1056;&#1086;&#1073;&#1086;&#1095;&#1072;\&#1044;&#1054;&#1061;&#1054;&#1044;&#1048;\2023\&#1051;&#1080;&#1089;&#1090;&#1080;\&#1052;i&#1089;&#1090;&#1086;,%20&#1089;&#1077;&#1083;&#1072;\&#1044;&#1086;&#1087;&#1086;&#1074;i&#1076;&#1085;&#1072;\&#1047;&#1072;%2009%20&#1084;i&#1089;.2023&#1088;\&#1044;i&#1072;&#1075;&#1088;&#1072;&#1084;&#1072;%20&#1076;&#1086;&#1093;&#1086;&#1076;&#1080;.%20&#1074;&#1080;&#1076;&#1072;&#1090;&#1082;&#1080;%209%20&#1084;&#1110;&#1089;&#1103;&#1094;&#1110;&#1074;.2023%20&#1047;&#1060;,%20&#1057;&#1060;%20.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D:\1%20%20&#1056;&#1086;&#1073;&#1086;&#1095;&#1072;\&#1044;&#1054;&#1061;&#1054;&#1044;&#1048;\2023\&#1051;&#1080;&#1089;&#1090;&#1080;\&#1052;i&#1089;&#1090;&#1086;,%20&#1089;&#1077;&#1083;&#1072;\&#1044;&#1086;&#1087;&#1086;&#1074;i&#1076;&#1085;&#1072;\&#1047;&#1072;%2009%20&#1084;i&#1089;.2023&#1088;\&#1044;i&#1072;&#1075;&#1088;&#1072;&#1084;&#1072;%20&#1076;&#1086;&#1093;&#1086;&#1076;&#1080;.%20&#1074;&#1080;&#1076;&#1072;&#1090;&#1082;&#1080;%209%20&#1084;&#1110;&#1089;&#1103;&#1094;&#1110;&#1074;.2023%20&#1047;&#1060;,%20&#1057;&#1060;%20.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D:\My_doc\bud%202023\&#1044;&#1086;&#1087;&#1086;&#1074;i&#1076;&#1085;i\&#1076;i&#1072;&#1075;&#1088;&#1072;&#1084;&#1072;%20&#1076;&#1086;&#1093;&#1086;&#1076;&#1080;.%20&#1074;&#1080;&#1076;&#1072;&#1090;&#1082;&#1080;%20I%20&#1087;&#1110;&#1074;&#1088;i&#1095;&#1095;&#1103;.2023%20&#1047;&#1060;,%20&#1057;&#1060;%20.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D:\My_doc\bud%202023\&#1044;&#1086;&#1087;&#1086;&#1074;i&#1076;&#1085;i\&#1076;i&#1072;&#1075;&#1088;&#1072;&#1084;&#1072;%20&#1076;&#1086;&#1093;&#1086;&#1076;&#1080;.%20&#1074;&#1080;&#1076;&#1072;&#1090;&#1082;&#1080;%20I%20&#1087;&#1110;&#1074;&#1088;i&#1095;&#1095;&#1103;.2023%20&#1047;&#1060;,%20&#1057;&#106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50" b="1" i="0" u="none" strike="noStrike" kern="1200" baseline="0">
                <a:solidFill>
                  <a:schemeClr val="tx2"/>
                </a:solidFill>
                <a:latin typeface="+mn-lt"/>
                <a:ea typeface="+mn-ea"/>
                <a:cs typeface="+mn-cs"/>
              </a:defRPr>
            </a:pPr>
            <a:r>
              <a:rPr lang="uk-UA" sz="1150" b="1">
                <a:latin typeface="Times New Roman" panose="02020603050405020304" pitchFamily="18" charset="0"/>
                <a:cs typeface="Times New Roman" panose="02020603050405020304" pitchFamily="18" charset="0"/>
              </a:rPr>
              <a:t>Структура доходної частини бюджету загального фонду Звенигородської міської територіальної громади за 9</a:t>
            </a:r>
            <a:r>
              <a:rPr lang="uk-UA" sz="1150" b="1" baseline="0">
                <a:latin typeface="Times New Roman" panose="02020603050405020304" pitchFamily="18" charset="0"/>
                <a:cs typeface="Times New Roman" panose="02020603050405020304" pitchFamily="18" charset="0"/>
              </a:rPr>
              <a:t> місяців</a:t>
            </a:r>
            <a:r>
              <a:rPr lang="uk-UA" sz="1150" b="1">
                <a:latin typeface="Times New Roman" panose="02020603050405020304" pitchFamily="18" charset="0"/>
                <a:cs typeface="Times New Roman" panose="02020603050405020304" pitchFamily="18" charset="0"/>
              </a:rPr>
              <a:t> 2023 р. (без міжбюджетних трансфертів), тис.грн</a:t>
            </a:r>
          </a:p>
        </c:rich>
      </c:tx>
      <c:layout>
        <c:manualLayout>
          <c:xMode val="edge"/>
          <c:yMode val="edge"/>
          <c:x val="0.11448412698412698"/>
          <c:y val="1.7674089784376106E-2"/>
        </c:manualLayout>
      </c:layout>
      <c:overlay val="0"/>
      <c:spPr>
        <a:gradFill flip="none" rotWithShape="1">
          <a:gsLst>
            <a:gs pos="0">
              <a:schemeClr val="accent1">
                <a:lumMod val="20000"/>
                <a:lumOff val="80000"/>
              </a:schemeClr>
            </a:gs>
            <a:gs pos="74000">
              <a:schemeClr val="accent3">
                <a:lumMod val="45000"/>
                <a:lumOff val="55000"/>
              </a:schemeClr>
            </a:gs>
            <a:gs pos="83000">
              <a:schemeClr val="accent3">
                <a:lumMod val="45000"/>
                <a:lumOff val="55000"/>
              </a:schemeClr>
            </a:gs>
            <a:gs pos="100000">
              <a:schemeClr val="accent3">
                <a:lumMod val="30000"/>
                <a:lumOff val="70000"/>
              </a:schemeClr>
            </a:gs>
          </a:gsLst>
          <a:lin ang="2700000" scaled="1"/>
          <a:tileRect/>
        </a:gradFill>
        <a:ln>
          <a:noFill/>
        </a:ln>
        <a:effectLst>
          <a:outerShdw blurRad="50800" dist="38100" dir="2700000" algn="tl" rotWithShape="0">
            <a:prstClr val="black">
              <a:alpha val="40000"/>
            </a:prstClr>
          </a:outerShdw>
        </a:effectLst>
        <a:scene3d>
          <a:camera prst="orthographicFront"/>
          <a:lightRig rig="threePt" dir="t"/>
        </a:scene3d>
        <a:sp3d>
          <a:bevelT w="152400" h="50800" prst="softRound"/>
        </a:sp3d>
      </c:spPr>
      <c:txPr>
        <a:bodyPr rot="0" spcFirstLastPara="1" vertOverflow="ellipsis" vert="horz" wrap="square" anchor="ctr" anchorCtr="1"/>
        <a:lstStyle/>
        <a:p>
          <a:pPr>
            <a:defRPr sz="1150" b="1" i="0" u="none" strike="noStrike" kern="1200" baseline="0">
              <a:solidFill>
                <a:schemeClr val="tx2"/>
              </a:solidFill>
              <a:latin typeface="+mn-lt"/>
              <a:ea typeface="+mn-ea"/>
              <a:cs typeface="+mn-cs"/>
            </a:defRPr>
          </a:pPr>
          <a:endParaRPr lang="en-US"/>
        </a:p>
      </c:txPr>
    </c:title>
    <c:autoTitleDeleted val="0"/>
    <c:view3D>
      <c:rotX val="30"/>
      <c:rotY val="23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0772247219097612"/>
          <c:y val="0.21137905216778977"/>
          <c:w val="0.62995458900970713"/>
          <c:h val="0.53486527333606104"/>
        </c:manualLayout>
      </c:layout>
      <c:pie3DChart>
        <c:varyColors val="1"/>
        <c:ser>
          <c:idx val="0"/>
          <c:order val="0"/>
          <c:explosion val="1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DBF8-45B3-96E4-1D587103AA48}"/>
              </c:ext>
            </c:extLst>
          </c:dPt>
          <c:dPt>
            <c:idx val="1"/>
            <c:bubble3D val="0"/>
            <c:explosion val="15"/>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03-DBF8-45B3-96E4-1D587103AA48}"/>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05-DBF8-45B3-96E4-1D587103AA48}"/>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7-DBF8-45B3-96E4-1D587103AA48}"/>
              </c:ext>
            </c:extLst>
          </c:dPt>
          <c:dPt>
            <c:idx val="4"/>
            <c:bubble3D val="0"/>
            <c:explosion val="1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09-DBF8-45B3-96E4-1D587103AA48}"/>
              </c:ext>
            </c:extLst>
          </c:dPt>
          <c:dPt>
            <c:idx val="5"/>
            <c:bubble3D val="0"/>
            <c:explosion val="24"/>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extLst>
              <c:ext xmlns:c16="http://schemas.microsoft.com/office/drawing/2014/chart" uri="{C3380CC4-5D6E-409C-BE32-E72D297353CC}">
                <c16:uniqueId val="{0000000B-DBF8-45B3-96E4-1D587103AA48}"/>
              </c:ext>
            </c:extLst>
          </c:dPt>
          <c:dPt>
            <c:idx val="6"/>
            <c:bubble3D val="0"/>
            <c:explosion val="31"/>
            <c:spPr>
              <a:solidFill>
                <a:srgbClr val="FF0000"/>
              </a:solidFill>
              <a:ln>
                <a:noFill/>
              </a:ln>
              <a:effectLst/>
              <a:sp3d/>
            </c:spPr>
            <c:extLst>
              <c:ext xmlns:c16="http://schemas.microsoft.com/office/drawing/2014/chart" uri="{C3380CC4-5D6E-409C-BE32-E72D297353CC}">
                <c16:uniqueId val="{0000000D-DBF8-45B3-96E4-1D587103AA48}"/>
              </c:ext>
            </c:extLst>
          </c:dPt>
          <c:dPt>
            <c:idx val="7"/>
            <c:bubble3D val="0"/>
            <c:explosion val="43"/>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0F-DBF8-45B3-96E4-1D587103AA48}"/>
              </c:ext>
            </c:extLst>
          </c:dPt>
          <c:dLbls>
            <c:dLbl>
              <c:idx val="0"/>
              <c:layout>
                <c:manualLayout>
                  <c:x val="-0.27340172556759385"/>
                  <c:y val="0.13632907955471085"/>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DBF8-45B3-96E4-1D587103AA48}"/>
                </c:ext>
              </c:extLst>
            </c:dLbl>
            <c:dLbl>
              <c:idx val="1"/>
              <c:layout>
                <c:manualLayout>
                  <c:x val="5.2204929997327197E-2"/>
                  <c:y val="-0.2236934242952455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fld id="{F7B7BF63-4EA0-4873-8CD6-8D2AD16D7E39}" type="CATEGORYNAME">
                      <a:rPr lang="uk-UA"/>
                      <a:pPr>
                        <a:defRPr b="1"/>
                      </a:pPr>
                      <a:t>[ИМЯ КАТЕГОРИИ]</a:t>
                    </a:fld>
                    <a:r>
                      <a:rPr lang="uk-UA" baseline="0"/>
                      <a:t> 20597,1: 11,6%</a:t>
                    </a:r>
                  </a:p>
                </c:rich>
              </c:tx>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scene3d>
                  <a:camera prst="orthographicFront"/>
                  <a:lightRig rig="threePt" dir="t"/>
                </a:scene3d>
                <a:sp3d>
                  <a:bevelT w="152400" h="50800" prst="softRound"/>
                  <a:bevelB prst="angle"/>
                </a:sp3d>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6351534713513291"/>
                      <c:h val="0.33126114483781133"/>
                    </c:manualLayout>
                  </c15:layout>
                  <c15:dlblFieldTable/>
                  <c15:showDataLabelsRange val="0"/>
                </c:ext>
                <c:ext xmlns:c16="http://schemas.microsoft.com/office/drawing/2014/chart" uri="{C3380CC4-5D6E-409C-BE32-E72D297353CC}">
                  <c16:uniqueId val="{00000003-DBF8-45B3-96E4-1D587103AA48}"/>
                </c:ext>
              </c:extLst>
            </c:dLbl>
            <c:dLbl>
              <c:idx val="2"/>
              <c:layout>
                <c:manualLayout>
                  <c:x val="0.317602605483714"/>
                  <c:y val="2.592323755121792E-2"/>
                </c:manualLayout>
              </c:layout>
              <c:tx>
                <c:rich>
                  <a:bodyPr/>
                  <a:lstStyle/>
                  <a:p>
                    <a:fld id="{C44FC5BD-C740-42B7-B423-F948D7B21252}" type="CATEGORYNAME">
                      <a:rPr lang="uk-UA"/>
                      <a:pPr/>
                      <a:t>[ИМЯ КАТЕГОРИИ]</a:t>
                    </a:fld>
                    <a:r>
                      <a:rPr lang="uk-UA" baseline="0"/>
                      <a:t>; </a:t>
                    </a:r>
                    <a:fld id="{9F3873BC-46E5-425F-B78C-635CEEE42FF7}" type="VALUE">
                      <a:rPr lang="uk-UA" baseline="0"/>
                      <a:pPr/>
                      <a:t>[ЗНАЧЕНИЕ]</a:t>
                    </a:fld>
                    <a:r>
                      <a:rPr lang="uk-UA" baseline="0"/>
                      <a:t>; 13,2%</a:t>
                    </a:r>
                  </a:p>
                </c:rich>
              </c:tx>
              <c:dLblPos val="bestFit"/>
              <c:showLegendKey val="0"/>
              <c:showVal val="1"/>
              <c:showCatName val="1"/>
              <c:showSerName val="0"/>
              <c:showPercent val="1"/>
              <c:showBubbleSize val="0"/>
              <c:extLst>
                <c:ext xmlns:c15="http://schemas.microsoft.com/office/drawing/2012/chart" uri="{CE6537A1-D6FC-4f65-9D91-7224C49458BB}">
                  <c15:layout>
                    <c:manualLayout>
                      <c:w val="0.1813751087902524"/>
                      <c:h val="0.12709463041257774"/>
                    </c:manualLayout>
                  </c15:layout>
                  <c15:dlblFieldTable/>
                  <c15:showDataLabelsRange val="0"/>
                </c:ext>
                <c:ext xmlns:c16="http://schemas.microsoft.com/office/drawing/2014/chart" uri="{C3380CC4-5D6E-409C-BE32-E72D297353CC}">
                  <c16:uniqueId val="{00000005-DBF8-45B3-96E4-1D587103AA48}"/>
                </c:ext>
              </c:extLst>
            </c:dLbl>
            <c:dLbl>
              <c:idx val="3"/>
              <c:layout>
                <c:manualLayout>
                  <c:x val="0.29864106412285929"/>
                  <c:y val="0.19333851429893908"/>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scene3d>
                  <a:camera prst="orthographicFront"/>
                  <a:lightRig rig="threePt" dir="t"/>
                </a:scene3d>
                <a:sp3d>
                  <a:bevelT w="152400" h="50800" prst="softRound"/>
                  <a:bevelB prst="angle"/>
                </a:sp3d>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23820713664055701"/>
                      <c:h val="0.14438812857830735"/>
                    </c:manualLayout>
                  </c15:layout>
                </c:ext>
                <c:ext xmlns:c16="http://schemas.microsoft.com/office/drawing/2014/chart" uri="{C3380CC4-5D6E-409C-BE32-E72D297353CC}">
                  <c16:uniqueId val="{00000007-DBF8-45B3-96E4-1D587103AA48}"/>
                </c:ext>
              </c:extLst>
            </c:dLbl>
            <c:dLbl>
              <c:idx val="4"/>
              <c:layout>
                <c:manualLayout>
                  <c:x val="3.3552113100744914E-2"/>
                  <c:y val="0.21059731010577584"/>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scene3d>
                  <a:camera prst="orthographicFront"/>
                  <a:lightRig rig="threePt" dir="t"/>
                </a:scene3d>
                <a:sp3d>
                  <a:bevelT w="152400" h="50800" prst="softRound"/>
                  <a:bevelB prst="angle"/>
                </a:sp3d>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25244769501723513"/>
                      <c:h val="0.17973427169299228"/>
                    </c:manualLayout>
                  </c15:layout>
                </c:ext>
                <c:ext xmlns:c16="http://schemas.microsoft.com/office/drawing/2014/chart" uri="{C3380CC4-5D6E-409C-BE32-E72D297353CC}">
                  <c16:uniqueId val="{00000009-DBF8-45B3-96E4-1D587103AA48}"/>
                </c:ext>
              </c:extLst>
            </c:dLbl>
            <c:dLbl>
              <c:idx val="5"/>
              <c:layout>
                <c:manualLayout>
                  <c:x val="-9.7967164189332726E-2"/>
                  <c:y val="2.1841320436147886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fld id="{DF430F66-697D-415F-BED5-8ABF8CF41314}" type="CATEGORYNAME">
                      <a:rPr lang="uk-UA"/>
                      <a:pPr>
                        <a:defRPr b="1"/>
                      </a:pPr>
                      <a:t>[ИМЯ КАТЕГОРИИ]</a:t>
                    </a:fld>
                    <a:r>
                      <a:rPr lang="uk-UA" baseline="0"/>
                      <a:t>; </a:t>
                    </a:r>
                    <a:fld id="{4835FA63-8654-4998-B707-FDFDE84EB4B7}" type="VALUE">
                      <a:rPr lang="uk-UA" baseline="0"/>
                      <a:pPr>
                        <a:defRPr b="1"/>
                      </a:pPr>
                      <a:t>[ЗНАЧЕНИЕ]</a:t>
                    </a:fld>
                    <a:r>
                      <a:rPr lang="uk-UA" baseline="0"/>
                      <a:t>; 1,0%</a:t>
                    </a:r>
                  </a:p>
                </c:rich>
              </c:tx>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scene3d>
                  <a:camera prst="orthographicFront"/>
                  <a:lightRig rig="threePt" dir="t"/>
                </a:scene3d>
                <a:sp3d>
                  <a:bevelT w="152400" h="50800" prst="softRound"/>
                  <a:bevelB prst="angle"/>
                </a:sp3d>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19455466239043875"/>
                      <c:h val="0.17307164190683061"/>
                    </c:manualLayout>
                  </c15:layout>
                  <c15:dlblFieldTable/>
                  <c15:showDataLabelsRange val="0"/>
                </c:ext>
                <c:ext xmlns:c16="http://schemas.microsoft.com/office/drawing/2014/chart" uri="{C3380CC4-5D6E-409C-BE32-E72D297353CC}">
                  <c16:uniqueId val="{0000000B-DBF8-45B3-96E4-1D587103AA48}"/>
                </c:ext>
              </c:extLst>
            </c:dLbl>
            <c:dLbl>
              <c:idx val="6"/>
              <c:layout>
                <c:manualLayout>
                  <c:x val="-7.3685351178361197E-2"/>
                  <c:y val="-0.13165477937502307"/>
                </c:manualLayout>
              </c:layout>
              <c:dLblPos val="bestFit"/>
              <c:showLegendKey val="0"/>
              <c:showVal val="1"/>
              <c:showCatName val="1"/>
              <c:showSerName val="0"/>
              <c:showPercent val="1"/>
              <c:showBubbleSize val="0"/>
              <c:extLst>
                <c:ext xmlns:c15="http://schemas.microsoft.com/office/drawing/2012/chart" uri="{CE6537A1-D6FC-4f65-9D91-7224C49458BB}">
                  <c15:layout>
                    <c:manualLayout>
                      <c:w val="0.19648598918607754"/>
                      <c:h val="0.12709451880550987"/>
                    </c:manualLayout>
                  </c15:layout>
                </c:ext>
                <c:ext xmlns:c16="http://schemas.microsoft.com/office/drawing/2014/chart" uri="{C3380CC4-5D6E-409C-BE32-E72D297353CC}">
                  <c16:uniqueId val="{0000000D-DBF8-45B3-96E4-1D587103AA48}"/>
                </c:ext>
              </c:extLst>
            </c:dLbl>
            <c:dLbl>
              <c:idx val="7"/>
              <c:layout>
                <c:manualLayout>
                  <c:x val="-5.0779178059661603E-2"/>
                  <c:y val="-6.2646260343411267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DBF8-45B3-96E4-1D587103AA48}"/>
                </c:ext>
              </c:extLst>
            </c:dLbl>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scene3d>
                <a:camera prst="orthographicFront"/>
                <a:lightRig rig="threePt" dir="t"/>
              </a:scene3d>
              <a:sp3d>
                <a:bevelT w="152400" h="50800" prst="softRound"/>
                <a:bevelB prst="angle"/>
              </a:sp3d>
            </c:spPr>
            <c:txPr>
              <a:bodyPr rot="0" spcFirstLastPara="1" vertOverflow="ellipsis" vert="horz" wrap="square" lIns="38100" tIns="19050" rIns="38100" bIns="19050" anchor="ctr" anchorCtr="1">
                <a:spAutoFit/>
              </a:bodyPr>
              <a:lstStyle/>
              <a:p>
                <a:pPr>
                  <a:defRPr sz="900" b="1" i="0" u="none" strike="noStrike" kern="1200" baseline="0">
                    <a:solidFill>
                      <a:schemeClr val="tx2"/>
                    </a:solidFill>
                    <a:latin typeface="+mn-lt"/>
                    <a:ea typeface="+mn-ea"/>
                    <a:cs typeface="+mn-cs"/>
                  </a:defRPr>
                </a:pPr>
                <a:endParaRPr lang="en-US"/>
              </a:p>
            </c:txPr>
            <c:dLblPos val="inEnd"/>
            <c:showLegendKey val="0"/>
            <c:showVal val="1"/>
            <c:showCatName val="1"/>
            <c:showSerName val="0"/>
            <c:showPercent val="1"/>
            <c:showBubbleSize val="0"/>
            <c:showLeaderLines val="1"/>
            <c:leaderLines>
              <c:spPr>
                <a:ln w="19050">
                  <a:solidFill>
                    <a:srgbClr val="7030A0"/>
                  </a:solidFill>
                </a:ln>
                <a:effectLst/>
              </c:spPr>
            </c:leaderLines>
            <c:extLst>
              <c:ext xmlns:c15="http://schemas.microsoft.com/office/drawing/2012/chart" uri="{CE6537A1-D6FC-4f65-9D91-7224C49458BB}"/>
            </c:extLst>
          </c:dLbls>
          <c:cat>
            <c:strRef>
              <c:f>'Структура доходів ЗФ'!$A$3:$A$9</c:f>
              <c:strCache>
                <c:ptCount val="7"/>
                <c:pt idx="0">
                  <c:v>Податки на доходи , податок на прибуток, тис.грн</c:v>
                </c:pt>
                <c:pt idx="1">
                  <c:v>Єдиний податок, тис.грн</c:v>
                </c:pt>
                <c:pt idx="2">
                  <c:v>Податок на майно, тис.грн</c:v>
                </c:pt>
                <c:pt idx="3">
                  <c:v>Внутрішні податки на товари та послуги (акциз), тис.грн</c:v>
                </c:pt>
                <c:pt idx="4">
                  <c:v>Рентна плата за використання інших природних ресурсів, тис.грн</c:v>
                </c:pt>
                <c:pt idx="5">
                  <c:v>Всі інші надходження, тис.грн</c:v>
                </c:pt>
                <c:pt idx="6">
                  <c:v>Плата за надання адін. послуг, тис.грн</c:v>
                </c:pt>
              </c:strCache>
            </c:strRef>
          </c:cat>
          <c:val>
            <c:numRef>
              <c:f>'Структура доходів ЗФ'!$B$3:$B$9</c:f>
              <c:numCache>
                <c:formatCode>#,##0.0</c:formatCode>
                <c:ptCount val="7"/>
                <c:pt idx="0">
                  <c:v>119227.41136</c:v>
                </c:pt>
                <c:pt idx="1">
                  <c:v>20597.069520000005</c:v>
                </c:pt>
                <c:pt idx="2">
                  <c:v>23461.542570000001</c:v>
                </c:pt>
                <c:pt idx="3">
                  <c:v>8486.6151899999986</c:v>
                </c:pt>
                <c:pt idx="4">
                  <c:v>1972.5775000000001</c:v>
                </c:pt>
                <c:pt idx="5">
                  <c:v>1774.3519700000286</c:v>
                </c:pt>
                <c:pt idx="6">
                  <c:v>2337.2378399999998</c:v>
                </c:pt>
              </c:numCache>
            </c:numRef>
          </c:val>
          <c:extLst>
            <c:ext xmlns:c16="http://schemas.microsoft.com/office/drawing/2014/chart" uri="{C3380CC4-5D6E-409C-BE32-E72D297353CC}">
              <c16:uniqueId val="{00000010-DBF8-45B3-96E4-1D587103AA48}"/>
            </c:ext>
          </c:extLst>
        </c:ser>
        <c:ser>
          <c:idx val="1"/>
          <c:order val="1"/>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12-DBF8-45B3-96E4-1D587103AA48}"/>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14-DBF8-45B3-96E4-1D587103AA48}"/>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16-DBF8-45B3-96E4-1D587103AA48}"/>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18-DBF8-45B3-96E4-1D587103AA48}"/>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1A-DBF8-45B3-96E4-1D587103AA48}"/>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extLst>
              <c:ext xmlns:c16="http://schemas.microsoft.com/office/drawing/2014/chart" uri="{C3380CC4-5D6E-409C-BE32-E72D297353CC}">
                <c16:uniqueId val="{0000001C-DBF8-45B3-96E4-1D587103AA48}"/>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1E-DBF8-45B3-96E4-1D587103AA48}"/>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20-DBF8-45B3-96E4-1D587103AA4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'Структура доходів ЗФ'!$A$3:$A$9</c:f>
              <c:strCache>
                <c:ptCount val="7"/>
                <c:pt idx="0">
                  <c:v>Податки на доходи , податок на прибуток, тис.грн</c:v>
                </c:pt>
                <c:pt idx="1">
                  <c:v>Єдиний податок, тис.грн</c:v>
                </c:pt>
                <c:pt idx="2">
                  <c:v>Податок на майно, тис.грн</c:v>
                </c:pt>
                <c:pt idx="3">
                  <c:v>Внутрішні податки на товари та послуги (акциз), тис.грн</c:v>
                </c:pt>
                <c:pt idx="4">
                  <c:v>Рентна плата за використання інших природних ресурсів, тис.грн</c:v>
                </c:pt>
                <c:pt idx="5">
                  <c:v>Всі інші надходження, тис.грн</c:v>
                </c:pt>
                <c:pt idx="6">
                  <c:v>Плата за надання адін. послуг, тис.грн</c:v>
                </c:pt>
              </c:strCache>
            </c:strRef>
          </c:cat>
          <c:val>
            <c:numRef>
              <c:f>'Структура доходів ЗФ'!$C$3:$C$9</c:f>
              <c:numCache>
                <c:formatCode>0.0</c:formatCode>
                <c:ptCount val="7"/>
                <c:pt idx="0">
                  <c:v>67.035619313616706</c:v>
                </c:pt>
                <c:pt idx="1">
                  <c:v>11.580703594660502</c:v>
                </c:pt>
                <c:pt idx="2">
                  <c:v>13.191253741841978</c:v>
                </c:pt>
                <c:pt idx="3">
                  <c:v>4.7715999085161789</c:v>
                </c:pt>
                <c:pt idx="4">
                  <c:v>1.1090818197615337</c:v>
                </c:pt>
                <c:pt idx="5">
                  <c:v>0.99762950342133283</c:v>
                </c:pt>
                <c:pt idx="6">
                  <c:v>1.3141121181817781</c:v>
                </c:pt>
              </c:numCache>
            </c:numRef>
          </c:val>
          <c:extLst>
            <c:ext xmlns:c16="http://schemas.microsoft.com/office/drawing/2014/chart" uri="{C3380CC4-5D6E-409C-BE32-E72D297353CC}">
              <c16:uniqueId val="{00000021-DBF8-45B3-96E4-1D587103AA48}"/>
            </c:ext>
          </c:extLst>
        </c:ser>
        <c:dLbls>
          <c:dLblPos val="in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pattFill prst="pct40">
      <a:fgClr>
        <a:schemeClr val="accent6">
          <a:lumMod val="40000"/>
          <a:lumOff val="60000"/>
        </a:schemeClr>
      </a:fgClr>
      <a:bgClr>
        <a:schemeClr val="bg1"/>
      </a:bgClr>
    </a:pattFill>
    <a:ln w="9525" cap="flat" cmpd="sng" algn="ctr">
      <a:solidFill>
        <a:schemeClr val="tx2">
          <a:lumMod val="15000"/>
          <a:lumOff val="85000"/>
        </a:schemeClr>
      </a:solidFill>
      <a:round/>
    </a:ln>
    <a:effectLst/>
    <a:scene3d>
      <a:camera prst="orthographicFront"/>
      <a:lightRig rig="threePt" dir="t"/>
    </a:scene3d>
    <a:sp3d prstMaterial="dkEdge">
      <a:bevelT w="101600" prst="riblet"/>
      <a:bevelB prst="angle"/>
    </a:sp3d>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r>
              <a:rPr lang="uk-UA" sz="1350">
                <a:latin typeface="Times New Roman" panose="02020603050405020304" pitchFamily="18" charset="0"/>
                <a:cs typeface="Times New Roman" panose="02020603050405020304" pitchFamily="18" charset="0"/>
              </a:rPr>
              <a:t>Динаміка фактичних надходжень податку на доходи фізичних  осіб  до  бюджету  Звенигородської  МТГ                                          за</a:t>
            </a:r>
            <a:r>
              <a:rPr lang="uk-UA" sz="1350" baseline="0">
                <a:latin typeface="Times New Roman" panose="02020603050405020304" pitchFamily="18" charset="0"/>
                <a:cs typeface="Times New Roman" panose="02020603050405020304" pitchFamily="18" charset="0"/>
              </a:rPr>
              <a:t> 9 місяців </a:t>
            </a:r>
            <a:r>
              <a:rPr lang="uk-UA" sz="1300" b="1">
                <a:latin typeface="Times New Roman" panose="02020603050405020304" pitchFamily="18" charset="0"/>
                <a:cs typeface="Times New Roman" panose="02020603050405020304" pitchFamily="18" charset="0"/>
              </a:rPr>
              <a:t>2021</a:t>
            </a:r>
            <a:r>
              <a:rPr lang="uk-UA" sz="1300" b="1" baseline="0">
                <a:latin typeface="Times New Roman" panose="02020603050405020304" pitchFamily="18" charset="0"/>
                <a:cs typeface="Times New Roman" panose="02020603050405020304" pitchFamily="18" charset="0"/>
              </a:rPr>
              <a:t> - </a:t>
            </a:r>
            <a:r>
              <a:rPr lang="uk-UA" sz="1300" b="1">
                <a:latin typeface="Times New Roman" panose="02020603050405020304" pitchFamily="18" charset="0"/>
                <a:cs typeface="Times New Roman" panose="02020603050405020304" pitchFamily="18" charset="0"/>
              </a:rPr>
              <a:t>2023</a:t>
            </a:r>
            <a:r>
              <a:rPr lang="uk-UA" sz="1300" b="1" baseline="0">
                <a:latin typeface="Times New Roman" panose="02020603050405020304" pitchFamily="18" charset="0"/>
                <a:cs typeface="Times New Roman" panose="02020603050405020304" pitchFamily="18" charset="0"/>
              </a:rPr>
              <a:t> </a:t>
            </a:r>
            <a:r>
              <a:rPr lang="uk-UA" sz="1350">
                <a:latin typeface="Times New Roman" panose="02020603050405020304" pitchFamily="18" charset="0"/>
                <a:cs typeface="Times New Roman" panose="02020603050405020304" pitchFamily="18" charset="0"/>
              </a:rPr>
              <a:t>рр. тис.грн</a:t>
            </a:r>
          </a:p>
        </c:rich>
      </c:tx>
      <c:layout>
        <c:manualLayout>
          <c:xMode val="edge"/>
          <c:yMode val="edge"/>
          <c:x val="0.1355639642978628"/>
          <c:y val="2.4395035490283844E-3"/>
        </c:manualLayout>
      </c:layout>
      <c:overlay val="0"/>
      <c:spPr>
        <a:solidFill>
          <a:schemeClr val="accent1">
            <a:lumMod val="20000"/>
            <a:lumOff val="80000"/>
          </a:schemeClr>
        </a:solid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539119911440777"/>
          <c:y val="0.19822630806537936"/>
          <c:w val="0.8336031718410889"/>
          <c:h val="0.61497439296929013"/>
        </c:manualLayout>
      </c:layout>
      <c:bar3DChart>
        <c:barDir val="col"/>
        <c:grouping val="clustered"/>
        <c:varyColors val="0"/>
        <c:ser>
          <c:idx val="0"/>
          <c:order val="0"/>
          <c:tx>
            <c:v>2021</c:v>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0800" dist="38100" dir="18900000" algn="bl" rotWithShape="0">
                <a:schemeClr val="accent6">
                  <a:lumMod val="75000"/>
                  <a:alpha val="40000"/>
                </a:schemeClr>
              </a:outerShdw>
            </a:effectLst>
            <a:scene3d>
              <a:camera prst="orthographicFront"/>
              <a:lightRig rig="threePt" dir="t"/>
            </a:scene3d>
            <a:sp3d>
              <a:bevelT/>
              <a:bevelB w="152400" h="50800" prst="softRound"/>
            </a:sp3d>
          </c:spPr>
          <c:invertIfNegative val="0"/>
          <c:dPt>
            <c:idx val="0"/>
            <c:invertIfNegative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0800" dist="38100" dir="18900000" algn="bl" rotWithShape="0">
                  <a:schemeClr val="accent6">
                    <a:lumMod val="75000"/>
                    <a:alpha val="40000"/>
                  </a:schemeClr>
                </a:outerShdw>
              </a:effectLst>
              <a:scene3d>
                <a:camera prst="orthographicFront"/>
                <a:lightRig rig="threePt" dir="t"/>
              </a:scene3d>
              <a:sp3d>
                <a:bevelT/>
                <a:bevelB w="152400" h="50800" prst="softRound"/>
              </a:sp3d>
            </c:spPr>
            <c:extLst>
              <c:ext xmlns:c16="http://schemas.microsoft.com/office/drawing/2014/chart" uri="{C3380CC4-5D6E-409C-BE32-E72D297353CC}">
                <c16:uniqueId val="{00000001-3366-4AF5-AF15-83A7EA910C4C}"/>
              </c:ext>
            </c:extLst>
          </c:dPt>
          <c:dLbls>
            <c:dLbl>
              <c:idx val="0"/>
              <c:layout>
                <c:manualLayout>
                  <c:x val="-1.7871326449563164E-2"/>
                  <c:y val="2.941177151731623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366-4AF5-AF15-83A7EA910C4C}"/>
                </c:ext>
              </c:extLst>
            </c:dLbl>
            <c:dLbl>
              <c:idx val="1"/>
              <c:layout>
                <c:manualLayout>
                  <c:x val="-3.9714058776806989E-3"/>
                  <c:y val="5.882354303463140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366-4AF5-AF15-83A7EA910C4C}"/>
                </c:ext>
              </c:extLst>
            </c:dLbl>
            <c:dLbl>
              <c:idx val="2"/>
              <c:layout>
                <c:manualLayout>
                  <c:x val="0"/>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366-4AF5-AF15-83A7EA910C4C}"/>
                </c:ext>
              </c:extLst>
            </c:dLbl>
            <c:dLbl>
              <c:idx val="3"/>
              <c:layout>
                <c:manualLayout>
                  <c:x val="0"/>
                  <c:y val="2.941177151731570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366-4AF5-AF15-83A7EA910C4C}"/>
                </c:ext>
              </c:extLst>
            </c:dLbl>
            <c:dLbl>
              <c:idx val="4"/>
              <c:layout>
                <c:manualLayout>
                  <c:x val="1.9857029388403494E-3"/>
                  <c:y val="2.941177151731623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366-4AF5-AF15-83A7EA910C4C}"/>
                </c:ext>
              </c:extLst>
            </c:dLbl>
            <c:dLbl>
              <c:idx val="8"/>
              <c:layout>
                <c:manualLayout>
                  <c:x val="-1.9857029388403494E-3"/>
                  <c:y val="-1.47058857586581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366-4AF5-AF15-83A7EA910C4C}"/>
                </c:ext>
              </c:extLst>
            </c:dLbl>
            <c:dLbl>
              <c:idx val="9"/>
              <c:layout>
                <c:manualLayout>
                  <c:x val="0"/>
                  <c:y val="-2.941177151731623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366-4AF5-AF15-83A7EA910C4C}"/>
                </c:ext>
              </c:extLst>
            </c:dLbl>
            <c:dLbl>
              <c:idx val="10"/>
              <c:layout>
                <c:manualLayout>
                  <c:x val="0"/>
                  <c:y val="-5.882354303463301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366-4AF5-AF15-83A7EA910C4C}"/>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downArrowCallout">
                    <a:avLst/>
                  </a:prstGeom>
                  <a:noFill/>
                  <a:ln>
                    <a:noFill/>
                  </a:ln>
                </c15:spPr>
                <c15:showLeaderLines val="0"/>
              </c:ext>
            </c:extLst>
          </c:dLbls>
          <c:cat>
            <c:strRef>
              <c:f>ПДФО!$A$2:$A$10</c:f>
              <c:strCache>
                <c:ptCount val="9"/>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strCache>
            </c:strRef>
          </c:cat>
          <c:val>
            <c:numRef>
              <c:f>ПДФО!$B$2:$B$10</c:f>
              <c:numCache>
                <c:formatCode>#,##0.0</c:formatCode>
                <c:ptCount val="9"/>
                <c:pt idx="0">
                  <c:v>6074.9650499999998</c:v>
                </c:pt>
                <c:pt idx="1">
                  <c:v>6247.8923399999994</c:v>
                </c:pt>
                <c:pt idx="2">
                  <c:v>7084.0277100000003</c:v>
                </c:pt>
                <c:pt idx="3">
                  <c:v>7701.2190599999994</c:v>
                </c:pt>
                <c:pt idx="4">
                  <c:v>7774.0317800000003</c:v>
                </c:pt>
                <c:pt idx="5">
                  <c:v>9028.6169700000009</c:v>
                </c:pt>
                <c:pt idx="6">
                  <c:v>8494.0007899999982</c:v>
                </c:pt>
                <c:pt idx="7">
                  <c:v>8840.628490000001</c:v>
                </c:pt>
                <c:pt idx="8">
                  <c:v>9182.7041499999996</c:v>
                </c:pt>
              </c:numCache>
            </c:numRef>
          </c:val>
          <c:shape val="cylinder"/>
          <c:extLst>
            <c:ext xmlns:c16="http://schemas.microsoft.com/office/drawing/2014/chart" uri="{C3380CC4-5D6E-409C-BE32-E72D297353CC}">
              <c16:uniqueId val="{00000009-3366-4AF5-AF15-83A7EA910C4C}"/>
            </c:ext>
          </c:extLst>
        </c:ser>
        <c:ser>
          <c:idx val="1"/>
          <c:order val="1"/>
          <c:tx>
            <c:v>2022</c:v>
          </c:tx>
          <c:spPr>
            <a:solidFill>
              <a:srgbClr val="FF0000"/>
            </a:solidFill>
            <a:ln>
              <a:noFill/>
            </a:ln>
            <a:effectLst>
              <a:outerShdw blurRad="57150" dist="19050" dir="5400000" algn="ctr" rotWithShape="0">
                <a:srgbClr val="000000">
                  <a:alpha val="63000"/>
                </a:srgbClr>
              </a:outerShdw>
            </a:effectLst>
            <a:sp3d/>
          </c:spPr>
          <c:invertIfNegative val="0"/>
          <c:dLbls>
            <c:dLbl>
              <c:idx val="0"/>
              <c:layout>
                <c:manualLayout>
                  <c:x val="3.9714058776806989E-3"/>
                  <c:y val="-1.76470629103897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366-4AF5-AF15-83A7EA910C4C}"/>
                </c:ext>
              </c:extLst>
            </c:dLbl>
            <c:dLbl>
              <c:idx val="1"/>
              <c:layout>
                <c:manualLayout>
                  <c:x val="-7.9904115061925681E-3"/>
                  <c:y val="5.407841753775855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366-4AF5-AF15-83A7EA910C4C}"/>
                </c:ext>
              </c:extLst>
            </c:dLbl>
            <c:dLbl>
              <c:idx val="2"/>
              <c:layout>
                <c:manualLayout>
                  <c:x val="-1.1949912074015155E-2"/>
                  <c:y val="-9.77265135197113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3366-4AF5-AF15-83A7EA910C4C}"/>
                </c:ext>
              </c:extLst>
            </c:dLbl>
            <c:dLbl>
              <c:idx val="3"/>
              <c:layout>
                <c:manualLayout>
                  <c:x val="-9.9880143827407106E-3"/>
                  <c:y val="-2.64705337561101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3366-4AF5-AF15-83A7EA910C4C}"/>
                </c:ext>
              </c:extLst>
            </c:dLbl>
            <c:dLbl>
              <c:idx val="4"/>
              <c:layout>
                <c:manualLayout>
                  <c:x val="-1.0047470594341908E-2"/>
                  <c:y val="-1.88333411754135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3366-4AF5-AF15-83A7EA910C4C}"/>
                </c:ext>
              </c:extLst>
            </c:dLbl>
            <c:dLbl>
              <c:idx val="7"/>
              <c:layout>
                <c:manualLayout>
                  <c:x val="-9.9880143827407106E-3"/>
                  <c:y val="2.703920876887878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3366-4AF5-AF15-83A7EA910C4C}"/>
                </c:ext>
              </c:extLst>
            </c:dLbl>
            <c:dLbl>
              <c:idx val="8"/>
              <c:layout>
                <c:manualLayout>
                  <c:x val="1.398322013583685E-2"/>
                  <c:y val="-3.51509713995430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3366-4AF5-AF15-83A7EA910C4C}"/>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downArrowCallou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ПДФО!$A$2:$A$10</c:f>
              <c:strCache>
                <c:ptCount val="9"/>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strCache>
            </c:strRef>
          </c:cat>
          <c:val>
            <c:numRef>
              <c:f>ПДФО!$C$2:$C$10</c:f>
              <c:numCache>
                <c:formatCode>#,##0.0</c:formatCode>
                <c:ptCount val="9"/>
                <c:pt idx="0">
                  <c:v>7229.8143</c:v>
                </c:pt>
                <c:pt idx="1">
                  <c:v>9245.8441400000011</c:v>
                </c:pt>
                <c:pt idx="2">
                  <c:v>10405.851859999999</c:v>
                </c:pt>
                <c:pt idx="3">
                  <c:v>10516.903</c:v>
                </c:pt>
                <c:pt idx="4">
                  <c:v>10122.5304</c:v>
                </c:pt>
                <c:pt idx="5">
                  <c:v>13022.989509999999</c:v>
                </c:pt>
                <c:pt idx="6">
                  <c:v>11625.649099999999</c:v>
                </c:pt>
                <c:pt idx="7">
                  <c:v>12664.40285</c:v>
                </c:pt>
                <c:pt idx="8">
                  <c:v>15228.48749</c:v>
                </c:pt>
              </c:numCache>
            </c:numRef>
          </c:val>
          <c:shape val="cylinder"/>
          <c:extLst>
            <c:ext xmlns:c16="http://schemas.microsoft.com/office/drawing/2014/chart" uri="{C3380CC4-5D6E-409C-BE32-E72D297353CC}">
              <c16:uniqueId val="{00000011-3366-4AF5-AF15-83A7EA910C4C}"/>
            </c:ext>
          </c:extLst>
        </c:ser>
        <c:ser>
          <c:idx val="2"/>
          <c:order val="2"/>
          <c:tx>
            <c:v>2023</c:v>
          </c:tx>
          <c:spPr>
            <a:solidFill>
              <a:srgbClr val="FFC000"/>
            </a:solidFill>
            <a:ln>
              <a:noFill/>
            </a:ln>
            <a:effectLst>
              <a:outerShdw blurRad="57150" dist="19050" dir="5400000" algn="ctr" rotWithShape="0">
                <a:srgbClr val="000000">
                  <a:alpha val="63000"/>
                </a:srgbClr>
              </a:outerShdw>
            </a:effectLst>
            <a:sp3d/>
          </c:spPr>
          <c:invertIfNegative val="0"/>
          <c:dLbls>
            <c:dLbl>
              <c:idx val="0"/>
              <c:layout>
                <c:manualLayout>
                  <c:x val="1.9315404192134793E-3"/>
                  <c:y val="-1.87149647968663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3366-4AF5-AF15-83A7EA910C4C}"/>
                </c:ext>
              </c:extLst>
            </c:dLbl>
            <c:dLbl>
              <c:idx val="1"/>
              <c:layout>
                <c:manualLayout>
                  <c:x val="1.9315404192134793E-3"/>
                  <c:y val="-2.1005526431039478E-2"/>
                </c:manualLayout>
              </c:layout>
              <c:showLegendKey val="0"/>
              <c:showVal val="1"/>
              <c:showCatName val="0"/>
              <c:showSerName val="0"/>
              <c:showPercent val="0"/>
              <c:showBubbleSize val="0"/>
              <c:extLst>
                <c:ext xmlns:c15="http://schemas.microsoft.com/office/drawing/2012/chart" uri="{CE6537A1-D6FC-4f65-9D91-7224C49458BB}">
                  <c15:layout>
                    <c:manualLayout>
                      <c:w val="8.4754059912627466E-2"/>
                      <c:h val="8.776351187262306E-2"/>
                    </c:manualLayout>
                  </c15:layout>
                </c:ext>
                <c:ext xmlns:c16="http://schemas.microsoft.com/office/drawing/2014/chart" uri="{C3380CC4-5D6E-409C-BE32-E72D297353CC}">
                  <c16:uniqueId val="{00000013-3366-4AF5-AF15-83A7EA910C4C}"/>
                </c:ext>
              </c:extLst>
            </c:dLbl>
            <c:dLbl>
              <c:idx val="2"/>
              <c:layout>
                <c:manualLayout>
                  <c:x val="7.8846329286745669E-3"/>
                  <c:y val="-7.3346515125031287E-3"/>
                </c:manualLayout>
              </c:layout>
              <c:showLegendKey val="0"/>
              <c:showVal val="1"/>
              <c:showCatName val="0"/>
              <c:showSerName val="0"/>
              <c:showPercent val="0"/>
              <c:showBubbleSize val="0"/>
              <c:extLst>
                <c:ext xmlns:c15="http://schemas.microsoft.com/office/drawing/2012/chart" uri="{CE6537A1-D6FC-4f65-9D91-7224C49458BB}">
                  <c15:layout>
                    <c:manualLayout>
                      <c:w val="9.8435722887339941E-2"/>
                      <c:h val="9.8815799901549206E-2"/>
                    </c:manualLayout>
                  </c15:layout>
                </c:ext>
                <c:ext xmlns:c16="http://schemas.microsoft.com/office/drawing/2014/chart" uri="{C3380CC4-5D6E-409C-BE32-E72D297353CC}">
                  <c16:uniqueId val="{00000014-3366-4AF5-AF15-83A7EA910C4C}"/>
                </c:ext>
              </c:extLst>
            </c:dLbl>
            <c:dLbl>
              <c:idx val="7"/>
              <c:layout>
                <c:manualLayout>
                  <c:x val="9.9880143827407106E-3"/>
                  <c:y val="-2.16313670151034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3366-4AF5-AF15-83A7EA910C4C}"/>
                </c:ext>
              </c:extLst>
            </c:dLbl>
            <c:dLbl>
              <c:idx val="8"/>
              <c:layout>
                <c:manualLayout>
                  <c:x val="7.9904115061925681E-3"/>
                  <c:y val="1.081568350755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3366-4AF5-AF15-83A7EA910C4C}"/>
                </c:ext>
              </c:extLst>
            </c:dLbl>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downArrowCallou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ПДФО!$A$2:$A$10</c:f>
              <c:strCache>
                <c:ptCount val="9"/>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strCache>
            </c:strRef>
          </c:cat>
          <c:val>
            <c:numRef>
              <c:f>ПДФО!$D$2:$D$10</c:f>
              <c:numCache>
                <c:formatCode>#,##0.0</c:formatCode>
                <c:ptCount val="9"/>
                <c:pt idx="0">
                  <c:v>10703.028769999999</c:v>
                </c:pt>
                <c:pt idx="1">
                  <c:v>11086.47752</c:v>
                </c:pt>
                <c:pt idx="2">
                  <c:v>12796.173779999999</c:v>
                </c:pt>
                <c:pt idx="3">
                  <c:v>13803.389090000001</c:v>
                </c:pt>
                <c:pt idx="4">
                  <c:v>12655.764710000001</c:v>
                </c:pt>
                <c:pt idx="5">
                  <c:v>16127.35043</c:v>
                </c:pt>
                <c:pt idx="6">
                  <c:v>14097.946900000001</c:v>
                </c:pt>
                <c:pt idx="7">
                  <c:v>13992.933849999999</c:v>
                </c:pt>
                <c:pt idx="8">
                  <c:v>13586.929310000001</c:v>
                </c:pt>
              </c:numCache>
            </c:numRef>
          </c:val>
          <c:shape val="cylinder"/>
          <c:extLst>
            <c:ext xmlns:c16="http://schemas.microsoft.com/office/drawing/2014/chart" uri="{C3380CC4-5D6E-409C-BE32-E72D297353CC}">
              <c16:uniqueId val="{00000017-3366-4AF5-AF15-83A7EA910C4C}"/>
            </c:ext>
          </c:extLst>
        </c:ser>
        <c:dLbls>
          <c:showLegendKey val="0"/>
          <c:showVal val="1"/>
          <c:showCatName val="0"/>
          <c:showSerName val="0"/>
          <c:showPercent val="0"/>
          <c:showBubbleSize val="0"/>
        </c:dLbls>
        <c:gapWidth val="150"/>
        <c:shape val="box"/>
        <c:axId val="130857824"/>
        <c:axId val="1"/>
        <c:axId val="0"/>
      </c:bar3DChart>
      <c:catAx>
        <c:axId val="13085782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2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
        <c:crosses val="autoZero"/>
        <c:auto val="1"/>
        <c:lblAlgn val="ctr"/>
        <c:lblOffset val="100"/>
        <c:noMultiLvlLbl val="0"/>
      </c:catAx>
      <c:valAx>
        <c:axId val="1"/>
        <c:scaling>
          <c:orientation val="minMax"/>
        </c:scaling>
        <c:delete val="0"/>
        <c:axPos val="l"/>
        <c:majorGridlines>
          <c:spPr>
            <a:ln w="3175" cap="flat" cmpd="sng" algn="ctr">
              <a:solidFill>
                <a:schemeClr val="accent1"/>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30857824"/>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Entry>
      <c:legendEntry>
        <c:idx val="1"/>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Entry>
      <c:layout>
        <c:manualLayout>
          <c:xMode val="edge"/>
          <c:yMode val="edge"/>
          <c:x val="0.21675516938728639"/>
          <c:y val="0.93798525532784194"/>
          <c:w val="0.61607296178581317"/>
          <c:h val="5.900540978923019E-2"/>
        </c:manualLayout>
      </c:layout>
      <c:overlay val="1"/>
      <c:spPr>
        <a:noFill/>
        <a:ln>
          <a:noFill/>
        </a:ln>
        <a:effectLst/>
      </c:spPr>
      <c:txPr>
        <a:bodyPr rot="0" spcFirstLastPara="1" vertOverflow="ellipsis" vert="horz" wrap="square" anchor="ctr" anchorCtr="1"/>
        <a:lstStyle/>
        <a:p>
          <a:pPr rtl="0">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gradFill>
      <a:gsLst>
        <a:gs pos="75000">
          <a:schemeClr val="accent1">
            <a:lumMod val="5000"/>
            <a:lumOff val="95000"/>
          </a:schemeClr>
        </a:gs>
        <a:gs pos="100000">
          <a:schemeClr val="accent1">
            <a:lumMod val="45000"/>
            <a:lumOff val="55000"/>
          </a:schemeClr>
        </a:gs>
        <a:gs pos="68000">
          <a:schemeClr val="accent6">
            <a:lumMod val="20000"/>
            <a:lumOff val="80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150" b="1" i="0" u="none" strike="noStrike" kern="1200" baseline="0">
                <a:solidFill>
                  <a:srgbClr val="44546A"/>
                </a:solidFill>
                <a:latin typeface="+mn-lt"/>
                <a:ea typeface="+mn-ea"/>
                <a:cs typeface="+mn-cs"/>
              </a:defRPr>
            </a:pPr>
            <a:r>
              <a:rPr lang="uk-UA" sz="1100" b="1" i="0" baseline="0">
                <a:effectLst/>
                <a:latin typeface="Times New Roman" panose="02020603050405020304" pitchFamily="18" charset="0"/>
                <a:cs typeface="Times New Roman" panose="02020603050405020304" pitchFamily="18" charset="0"/>
              </a:rPr>
              <a:t>Структура доходної частини бюджету спеціального фонду </a:t>
            </a:r>
            <a:br>
              <a:rPr lang="uk-UA" sz="1100" b="1" i="0" baseline="0">
                <a:effectLst/>
                <a:latin typeface="Times New Roman" panose="02020603050405020304" pitchFamily="18" charset="0"/>
                <a:cs typeface="Times New Roman" panose="02020603050405020304" pitchFamily="18" charset="0"/>
              </a:rPr>
            </a:br>
            <a:r>
              <a:rPr lang="uk-UA" sz="1100" b="1" i="0" baseline="0">
                <a:effectLst/>
                <a:latin typeface="Times New Roman" panose="02020603050405020304" pitchFamily="18" charset="0"/>
                <a:cs typeface="Times New Roman" panose="02020603050405020304" pitchFamily="18" charset="0"/>
              </a:rPr>
              <a:t>Звенигородської міської територіальної громади </a:t>
            </a:r>
            <a:br>
              <a:rPr lang="uk-UA" sz="1100" b="1" i="0" baseline="0">
                <a:effectLst/>
                <a:latin typeface="Times New Roman" panose="02020603050405020304" pitchFamily="18" charset="0"/>
                <a:cs typeface="Times New Roman" panose="02020603050405020304" pitchFamily="18" charset="0"/>
              </a:rPr>
            </a:br>
            <a:r>
              <a:rPr lang="uk-UA" sz="1100" b="1" i="0" baseline="0">
                <a:effectLst/>
                <a:latin typeface="Times New Roman" panose="02020603050405020304" pitchFamily="18" charset="0"/>
                <a:cs typeface="Times New Roman" panose="02020603050405020304" pitchFamily="18" charset="0"/>
              </a:rPr>
              <a:t> за 9 місяців 2023 року (без міжбюджетних трансфертів)</a:t>
            </a:r>
          </a:p>
        </c:rich>
      </c:tx>
      <c:layout>
        <c:manualLayout>
          <c:xMode val="edge"/>
          <c:yMode val="edge"/>
          <c:x val="0.17841710758377427"/>
          <c:y val="2.1208907741251327E-2"/>
        </c:manualLayout>
      </c:layout>
      <c:overlay val="0"/>
      <c:spPr>
        <a:solidFill>
          <a:schemeClr val="accent3">
            <a:lumMod val="20000"/>
            <a:lumOff val="80000"/>
          </a:schemeClr>
        </a:solidFill>
        <a:ln>
          <a:noFill/>
        </a:ln>
        <a:effectLst>
          <a:glow rad="228600">
            <a:schemeClr val="accent5">
              <a:satMod val="175000"/>
              <a:alpha val="40000"/>
            </a:schemeClr>
          </a:glow>
          <a:outerShdw blurRad="50800" dist="38100" dir="2700000" algn="tl" rotWithShape="0">
            <a:prstClr val="black">
              <a:alpha val="40000"/>
            </a:prstClr>
          </a:outerShdw>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150" b="1" i="0" u="none" strike="noStrike" kern="1200" baseline="0">
              <a:solidFill>
                <a:srgbClr val="44546A"/>
              </a:solidFill>
              <a:latin typeface="+mn-lt"/>
              <a:ea typeface="+mn-ea"/>
              <a:cs typeface="+mn-cs"/>
            </a:defRPr>
          </a:pPr>
          <a:endParaRPr lang="en-US"/>
        </a:p>
      </c:txPr>
    </c:title>
    <c:autoTitleDeleted val="0"/>
    <c:view3D>
      <c:rotX val="30"/>
      <c:rotY val="21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085594754627929"/>
          <c:y val="0.21577975960041532"/>
          <c:w val="0.62995458900970713"/>
          <c:h val="0.53486527333606104"/>
        </c:manualLayout>
      </c:layout>
      <c:pie3DChart>
        <c:varyColors val="1"/>
        <c:ser>
          <c:idx val="0"/>
          <c:order val="0"/>
          <c:explosion val="12"/>
          <c:dPt>
            <c:idx val="0"/>
            <c:bubble3D val="0"/>
            <c:explosion val="49"/>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C594-4D88-90DA-EE03353D3A4F}"/>
              </c:ext>
            </c:extLst>
          </c:dPt>
          <c:dPt>
            <c:idx val="1"/>
            <c:bubble3D val="0"/>
            <c:explosion val="22"/>
            <c:spPr>
              <a:solidFill>
                <a:srgbClr val="00B050"/>
              </a:solidFill>
              <a:ln>
                <a:noFill/>
              </a:ln>
              <a:effectLst/>
              <a:sp3d/>
            </c:spPr>
            <c:extLst>
              <c:ext xmlns:c16="http://schemas.microsoft.com/office/drawing/2014/chart" uri="{C3380CC4-5D6E-409C-BE32-E72D297353CC}">
                <c16:uniqueId val="{00000003-C594-4D88-90DA-EE03353D3A4F}"/>
              </c:ext>
            </c:extLst>
          </c:dPt>
          <c:dPt>
            <c:idx val="2"/>
            <c:bubble3D val="0"/>
            <c:explosion val="27"/>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05-C594-4D88-90DA-EE03353D3A4F}"/>
              </c:ext>
            </c:extLst>
          </c:dPt>
          <c:dPt>
            <c:idx val="3"/>
            <c:bubble3D val="0"/>
            <c:explosion val="1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7-C594-4D88-90DA-EE03353D3A4F}"/>
              </c:ext>
            </c:extLst>
          </c:dPt>
          <c:dPt>
            <c:idx val="4"/>
            <c:bubble3D val="0"/>
            <c:explosion val="20"/>
            <c:spPr>
              <a:solidFill>
                <a:srgbClr val="FF0000"/>
              </a:solidFill>
              <a:ln>
                <a:noFill/>
              </a:ln>
              <a:effectLst/>
              <a:sp3d/>
            </c:spPr>
            <c:extLst>
              <c:ext xmlns:c16="http://schemas.microsoft.com/office/drawing/2014/chart" uri="{C3380CC4-5D6E-409C-BE32-E72D297353CC}">
                <c16:uniqueId val="{00000009-C594-4D88-90DA-EE03353D3A4F}"/>
              </c:ext>
            </c:extLst>
          </c:dPt>
          <c:dPt>
            <c:idx val="5"/>
            <c:bubble3D val="0"/>
            <c:explosion val="75"/>
            <c:spPr>
              <a:solidFill>
                <a:schemeClr val="accent2"/>
              </a:solidFill>
              <a:ln>
                <a:noFill/>
              </a:ln>
              <a:effectLst/>
              <a:sp3d/>
            </c:spPr>
            <c:extLst>
              <c:ext xmlns:c16="http://schemas.microsoft.com/office/drawing/2014/chart" uri="{C3380CC4-5D6E-409C-BE32-E72D297353CC}">
                <c16:uniqueId val="{0000000B-C594-4D88-90DA-EE03353D3A4F}"/>
              </c:ext>
            </c:extLst>
          </c:dPt>
          <c:dPt>
            <c:idx val="6"/>
            <c:bubble3D val="0"/>
            <c:explosion val="20"/>
            <c:spPr>
              <a:solidFill>
                <a:srgbClr val="FF0000"/>
              </a:solidFill>
              <a:ln>
                <a:noFill/>
              </a:ln>
              <a:effectLst/>
              <a:sp3d/>
            </c:spPr>
            <c:extLst>
              <c:ext xmlns:c16="http://schemas.microsoft.com/office/drawing/2014/chart" uri="{C3380CC4-5D6E-409C-BE32-E72D297353CC}">
                <c16:uniqueId val="{0000000D-C594-4D88-90DA-EE03353D3A4F}"/>
              </c:ext>
            </c:extLst>
          </c:dPt>
          <c:dPt>
            <c:idx val="7"/>
            <c:bubble3D val="0"/>
            <c:explosion val="7"/>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0F-C594-4D88-90DA-EE03353D3A4F}"/>
              </c:ext>
            </c:extLst>
          </c:dPt>
          <c:dLbls>
            <c:dLbl>
              <c:idx val="0"/>
              <c:layout>
                <c:manualLayout>
                  <c:x val="-9.5235624708323821E-2"/>
                  <c:y val="4.6289528423290795E-2"/>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63500">
                    <a:schemeClr val="accent6">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5755561292543349"/>
                      <c:h val="0.39369050757474017"/>
                    </c:manualLayout>
                  </c15:layout>
                </c:ext>
                <c:ext xmlns:c16="http://schemas.microsoft.com/office/drawing/2014/chart" uri="{C3380CC4-5D6E-409C-BE32-E72D297353CC}">
                  <c16:uniqueId val="{00000001-C594-4D88-90DA-EE03353D3A4F}"/>
                </c:ext>
              </c:extLst>
            </c:dLbl>
            <c:dLbl>
              <c:idx val="1"/>
              <c:layout>
                <c:manualLayout>
                  <c:x val="-0.17759546292526801"/>
                  <c:y val="0.1278282704513086"/>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63500">
                    <a:schemeClr val="accent6">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9134983599937777"/>
                      <c:h val="0.25876097889998384"/>
                    </c:manualLayout>
                  </c15:layout>
                </c:ext>
                <c:ext xmlns:c16="http://schemas.microsoft.com/office/drawing/2014/chart" uri="{C3380CC4-5D6E-409C-BE32-E72D297353CC}">
                  <c16:uniqueId val="{00000003-C594-4D88-90DA-EE03353D3A4F}"/>
                </c:ext>
              </c:extLst>
            </c:dLbl>
            <c:dLbl>
              <c:idx val="2"/>
              <c:layout>
                <c:manualLayout>
                  <c:x val="8.3094779451433634E-2"/>
                  <c:y val="1.1599463463548789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fld id="{FAD33345-6182-4BB4-A667-B7B0ED628F0B}" type="CATEGORYNAME">
                      <a:rPr lang="uk-UA"/>
                      <a:pPr>
                        <a:defRPr b="1"/>
                      </a:pPr>
                      <a:t>[ИМЯ КАТЕГОРИИ]</a:t>
                    </a:fld>
                    <a:r>
                      <a:rPr lang="uk-UA" baseline="0"/>
                      <a:t>; </a:t>
                    </a:r>
                    <a:fld id="{13A1C9EF-9E2D-4666-A901-447EB72A36C0}" type="VALUE">
                      <a:rPr lang="uk-UA" baseline="0"/>
                      <a:pPr>
                        <a:defRPr b="1"/>
                      </a:pPr>
                      <a:t>[ЗНАЧЕНИЕ]</a:t>
                    </a:fld>
                    <a:r>
                      <a:rPr lang="uk-UA" baseline="0"/>
                      <a:t>; 0,5%</a:t>
                    </a:r>
                  </a:p>
                </c:rich>
              </c:tx>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63500">
                    <a:schemeClr val="accent6">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2691016870053914"/>
                      <c:h val="0.22796510827807925"/>
                    </c:manualLayout>
                  </c15:layout>
                  <c15:dlblFieldTable/>
                  <c15:showDataLabelsRange val="0"/>
                </c:ext>
                <c:ext xmlns:c16="http://schemas.microsoft.com/office/drawing/2014/chart" uri="{C3380CC4-5D6E-409C-BE32-E72D297353CC}">
                  <c16:uniqueId val="{00000005-C594-4D88-90DA-EE03353D3A4F}"/>
                </c:ext>
              </c:extLst>
            </c:dLbl>
            <c:dLbl>
              <c:idx val="3"/>
              <c:layout>
                <c:manualLayout>
                  <c:x val="4.7389725716820076E-2"/>
                  <c:y val="-1.3656817931588051E-2"/>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63500">
                    <a:schemeClr val="accent6">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1865056117670031"/>
                      <c:h val="0.17570345606240562"/>
                    </c:manualLayout>
                  </c15:layout>
                </c:ext>
                <c:ext xmlns:c16="http://schemas.microsoft.com/office/drawing/2014/chart" uri="{C3380CC4-5D6E-409C-BE32-E72D297353CC}">
                  <c16:uniqueId val="{00000007-C594-4D88-90DA-EE03353D3A4F}"/>
                </c:ext>
              </c:extLst>
            </c:dLbl>
            <c:dLbl>
              <c:idx val="4"/>
              <c:layout>
                <c:manualLayout>
                  <c:x val="0.49206491842996297"/>
                  <c:y val="0.1569053022634686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fld id="{F077862D-5470-4741-926A-CD451836C9D2}" type="CATEGORYNAME">
                      <a:rPr lang="uk-UA" baseline="0"/>
                      <a:pPr>
                        <a:defRPr b="1"/>
                      </a:pPr>
                      <a:t>[ИМЯ КАТЕГОРИИ]</a:t>
                    </a:fld>
                    <a:r>
                      <a:rPr lang="uk-UA" baseline="0"/>
                      <a:t>; </a:t>
                    </a:r>
                    <a:fld id="{E4BE9AC0-1E55-43C0-AD0E-8B4FE5C761B9}" type="VALUE">
                      <a:rPr lang="uk-UA" baseline="0"/>
                      <a:pPr>
                        <a:defRPr b="1"/>
                      </a:pPr>
                      <a:t>[ЗНАЧЕНИЕ]</a:t>
                    </a:fld>
                    <a:r>
                      <a:rPr lang="uk-UA" baseline="0"/>
                      <a:t>; 0,9%</a:t>
                    </a:r>
                  </a:p>
                </c:rich>
              </c:tx>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63500">
                    <a:schemeClr val="accent6">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31413400720874579"/>
                      <c:h val="0.21329620671570312"/>
                    </c:manualLayout>
                  </c15:layout>
                  <c15:dlblFieldTable/>
                  <c15:showDataLabelsRange val="0"/>
                </c:ext>
                <c:ext xmlns:c16="http://schemas.microsoft.com/office/drawing/2014/chart" uri="{C3380CC4-5D6E-409C-BE32-E72D297353CC}">
                  <c16:uniqueId val="{00000009-C594-4D88-90DA-EE03353D3A4F}"/>
                </c:ext>
              </c:extLst>
            </c:dLbl>
            <c:dLbl>
              <c:idx val="5"/>
              <c:layout>
                <c:manualLayout>
                  <c:x val="0.14096771951425366"/>
                  <c:y val="8.6673130675986199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fld id="{803DA7CF-00FB-4BF6-906C-AD9167BAD343}" type="CATEGORYNAME">
                      <a:rPr lang="uk-UA"/>
                      <a:pPr>
                        <a:defRPr b="1"/>
                      </a:pPr>
                      <a:t>[ИМЯ КАТЕГОРИИ]</a:t>
                    </a:fld>
                    <a:r>
                      <a:rPr lang="uk-UA" baseline="0"/>
                      <a:t>; </a:t>
                    </a:r>
                    <a:fld id="{3E00BFC9-634F-4CAD-A0AE-0CCB28F29422}" type="VALUE">
                      <a:rPr lang="uk-UA" baseline="0"/>
                      <a:pPr>
                        <a:defRPr b="1"/>
                      </a:pPr>
                      <a:t>[ЗНАЧЕНИЕ]</a:t>
                    </a:fld>
                    <a:r>
                      <a:rPr lang="uk-UA" baseline="0"/>
                      <a:t>; 0,04%</a:t>
                    </a:r>
                  </a:p>
                </c:rich>
              </c:tx>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63500">
                    <a:schemeClr val="accent6">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2080391748005018"/>
                      <c:h val="0.20616188199749727"/>
                    </c:manualLayout>
                  </c15:layout>
                  <c15:dlblFieldTable/>
                  <c15:showDataLabelsRange val="0"/>
                </c:ext>
                <c:ext xmlns:c16="http://schemas.microsoft.com/office/drawing/2014/chart" uri="{C3380CC4-5D6E-409C-BE32-E72D297353CC}">
                  <c16:uniqueId val="{0000000B-C594-4D88-90DA-EE03353D3A4F}"/>
                </c:ext>
              </c:extLst>
            </c:dLbl>
            <c:dLbl>
              <c:idx val="6"/>
              <c:layout>
                <c:manualLayout>
                  <c:x val="0.25945361810858142"/>
                  <c:y val="9.5323538468305852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fld id="{AE321D5F-EA2A-48D5-B84A-AEB5FCC60BF7}" type="CATEGORYNAME">
                      <a:rPr lang="uk-UA"/>
                      <a:pPr>
                        <a:defRPr b="1"/>
                      </a:pPr>
                      <a:t>[ИМЯ КАТЕГОРИИ]</a:t>
                    </a:fld>
                    <a:r>
                      <a:rPr lang="uk-UA" baseline="0"/>
                      <a:t>; </a:t>
                    </a:r>
                    <a:fld id="{A5A84887-F3D5-44C1-A881-AD4E0A828A3C}" type="VALUE">
                      <a:rPr lang="uk-UA" baseline="0"/>
                      <a:pPr>
                        <a:defRPr b="1"/>
                      </a:pPr>
                      <a:t>[ЗНАЧЕНИЕ]</a:t>
                    </a:fld>
                    <a:r>
                      <a:rPr lang="uk-UA" baseline="0"/>
                      <a:t>; 0,04%</a:t>
                    </a:r>
                  </a:p>
                </c:rich>
              </c:tx>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63500">
                    <a:schemeClr val="accent6">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6841523435043507"/>
                      <c:h val="0.17658197020176294"/>
                    </c:manualLayout>
                  </c15:layout>
                  <c15:dlblFieldTable/>
                  <c15:showDataLabelsRange val="0"/>
                </c:ext>
                <c:ext xmlns:c16="http://schemas.microsoft.com/office/drawing/2014/chart" uri="{C3380CC4-5D6E-409C-BE32-E72D297353CC}">
                  <c16:uniqueId val="{0000000D-C594-4D88-90DA-EE03353D3A4F}"/>
                </c:ext>
              </c:extLst>
            </c:dLbl>
            <c:dLbl>
              <c:idx val="7"/>
              <c:layout>
                <c:manualLayout>
                  <c:x val="0.22741540976986957"/>
                  <c:y val="9.091774450781126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F-C594-4D88-90DA-EE03353D3A4F}"/>
                </c:ext>
              </c:extLst>
            </c:dLbl>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63500">
                  <a:schemeClr val="accent6">
                    <a:satMod val="175000"/>
                    <a:alpha val="40000"/>
                  </a:schemeClr>
                </a:glow>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2"/>
                    </a:solidFill>
                    <a:latin typeface="+mn-lt"/>
                    <a:ea typeface="+mn-ea"/>
                    <a:cs typeface="+mn-cs"/>
                  </a:defRPr>
                </a:pPr>
                <a:endParaRPr lang="en-US"/>
              </a:p>
            </c:txPr>
            <c:dLblPos val="inEnd"/>
            <c:showLegendKey val="0"/>
            <c:showVal val="1"/>
            <c:showCatName val="1"/>
            <c:showSerName val="0"/>
            <c:showPercent val="1"/>
            <c:showBubbleSize val="0"/>
            <c:separator>; </c:separator>
            <c:showLeaderLines val="1"/>
            <c:leaderLines>
              <c:spPr>
                <a:ln w="19050">
                  <a:solidFill>
                    <a:srgbClr val="7030A0"/>
                  </a:solidFill>
                </a:ln>
                <a:effectLst/>
              </c:spPr>
            </c:leaderLines>
            <c:extLst>
              <c:ext xmlns:c15="http://schemas.microsoft.com/office/drawing/2012/chart" uri="{CE6537A1-D6FC-4f65-9D91-7224C49458BB}"/>
            </c:extLst>
          </c:dLbls>
          <c:cat>
            <c:strRef>
              <c:f>'Структура доходів СФ'!$A$3:$A$8</c:f>
              <c:strCache>
                <c:ptCount val="6"/>
                <c:pt idx="0">
                  <c:v>Надходження від плати за послуги, що надаються бюджетними установами, тис.грн</c:v>
                </c:pt>
                <c:pt idx="1">
                  <c:v>Інші джерела власних надходжень бюджетних установ, тис.грн</c:v>
                </c:pt>
                <c:pt idx="2">
                  <c:v>Екологічний податок, тис.грн</c:v>
                </c:pt>
                <c:pt idx="3">
                  <c:v>Кошти від продажу землі, тис.грн</c:v>
                </c:pt>
                <c:pt idx="4">
                  <c:v>Грошові стягнення за шкоду, заподіяну порушенням законодавства про охорону навколишнього природного середовища, тис.грн</c:v>
                </c:pt>
                <c:pt idx="5">
                  <c:v>Цільові фонди, тис.грн</c:v>
                </c:pt>
              </c:strCache>
            </c:strRef>
          </c:cat>
          <c:val>
            <c:numRef>
              <c:f>'Структура доходів СФ'!$B$3:$B$8</c:f>
              <c:numCache>
                <c:formatCode>#,##0.0</c:formatCode>
                <c:ptCount val="6"/>
                <c:pt idx="0">
                  <c:v>1528.3542500000001</c:v>
                </c:pt>
                <c:pt idx="1">
                  <c:v>7809.1922900000009</c:v>
                </c:pt>
                <c:pt idx="2">
                  <c:v>110.31247999999999</c:v>
                </c:pt>
                <c:pt idx="3">
                  <c:v>6679.5987399999995</c:v>
                </c:pt>
                <c:pt idx="4">
                  <c:v>139.73810999999998</c:v>
                </c:pt>
                <c:pt idx="5">
                  <c:v>6.35</c:v>
                </c:pt>
              </c:numCache>
            </c:numRef>
          </c:val>
          <c:extLst>
            <c:ext xmlns:c16="http://schemas.microsoft.com/office/drawing/2014/chart" uri="{C3380CC4-5D6E-409C-BE32-E72D297353CC}">
              <c16:uniqueId val="{00000010-C594-4D88-90DA-EE03353D3A4F}"/>
            </c:ext>
          </c:extLst>
        </c:ser>
        <c:ser>
          <c:idx val="1"/>
          <c:order val="1"/>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12-C594-4D88-90DA-EE03353D3A4F}"/>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14-C594-4D88-90DA-EE03353D3A4F}"/>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16-C594-4D88-90DA-EE03353D3A4F}"/>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18-C594-4D88-90DA-EE03353D3A4F}"/>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1A-C594-4D88-90DA-EE03353D3A4F}"/>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extLst>
              <c:ext xmlns:c16="http://schemas.microsoft.com/office/drawing/2014/chart" uri="{C3380CC4-5D6E-409C-BE32-E72D297353CC}">
                <c16:uniqueId val="{0000001C-C594-4D88-90DA-EE03353D3A4F}"/>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1E-C594-4D88-90DA-EE03353D3A4F}"/>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20-C594-4D88-90DA-EE03353D3A4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'Структура доходів СФ'!$A$3:$A$8</c:f>
              <c:strCache>
                <c:ptCount val="6"/>
                <c:pt idx="0">
                  <c:v>Надходження від плати за послуги, що надаються бюджетними установами, тис.грн</c:v>
                </c:pt>
                <c:pt idx="1">
                  <c:v>Інші джерела власних надходжень бюджетних установ, тис.грн</c:v>
                </c:pt>
                <c:pt idx="2">
                  <c:v>Екологічний податок, тис.грн</c:v>
                </c:pt>
                <c:pt idx="3">
                  <c:v>Кошти від продажу землі, тис.грн</c:v>
                </c:pt>
                <c:pt idx="4">
                  <c:v>Грошові стягнення за шкоду, заподіяну порушенням законодавства про охорону навколишнього природного середовища, тис.грн</c:v>
                </c:pt>
                <c:pt idx="5">
                  <c:v>Цільові фонди, тис.грн</c:v>
                </c:pt>
              </c:strCache>
            </c:strRef>
          </c:cat>
          <c:val>
            <c:numRef>
              <c:f>'Структура доходів СФ'!$C$3:$C$8</c:f>
              <c:numCache>
                <c:formatCode>0.0</c:formatCode>
                <c:ptCount val="6"/>
                <c:pt idx="0">
                  <c:v>9.3916486438121307</c:v>
                </c:pt>
                <c:pt idx="1">
                  <c:v>47.987035845679522</c:v>
                </c:pt>
                <c:pt idx="2">
                  <c:v>0.67786382194282024</c:v>
                </c:pt>
                <c:pt idx="3">
                  <c:v>41.045748685378541</c:v>
                </c:pt>
                <c:pt idx="4">
                  <c:v>0.85868261973319993</c:v>
                </c:pt>
                <c:pt idx="5" formatCode="0.00">
                  <c:v>3.9020383453775211E-2</c:v>
                </c:pt>
              </c:numCache>
            </c:numRef>
          </c:val>
          <c:extLst>
            <c:ext xmlns:c16="http://schemas.microsoft.com/office/drawing/2014/chart" uri="{C3380CC4-5D6E-409C-BE32-E72D297353CC}">
              <c16:uniqueId val="{00000021-C594-4D88-90DA-EE03353D3A4F}"/>
            </c:ext>
          </c:extLst>
        </c:ser>
        <c:dLbls>
          <c:dLblPos val="inEnd"/>
          <c:showLegendKey val="0"/>
          <c:showVal val="0"/>
          <c:showCatName val="0"/>
          <c:showSerName val="0"/>
          <c:showPercent val="1"/>
          <c:showBubbleSize val="0"/>
          <c:showLeaderLines val="1"/>
        </c:dLbls>
      </c:pie3DChart>
      <c:spPr>
        <a:noFill/>
        <a:ln>
          <a:noFill/>
        </a:ln>
        <a:effectLst>
          <a:softEdge rad="0"/>
        </a:effectLst>
      </c:spPr>
    </c:plotArea>
    <c:plotVisOnly val="1"/>
    <c:dispBlanksAs val="gap"/>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lang="en-US" sz="1150" b="1" i="0" u="none" strike="noStrike" kern="1200" baseline="0">
                <a:solidFill>
                  <a:srgbClr val="44546A"/>
                </a:solidFill>
                <a:latin typeface="Times New Roman" panose="02020603050405020304" pitchFamily="18" charset="0"/>
                <a:ea typeface="+mn-ea"/>
                <a:cs typeface="Times New Roman" panose="02020603050405020304" pitchFamily="18" charset="0"/>
              </a:defRPr>
            </a:pPr>
            <a:r>
              <a:rPr lang="uk-UA" sz="1200" b="1" i="0" baseline="0">
                <a:effectLst/>
                <a:latin typeface="Times New Roman" panose="02020603050405020304" pitchFamily="18" charset="0"/>
                <a:cs typeface="Times New Roman" panose="02020603050405020304" pitchFamily="18" charset="0"/>
              </a:rPr>
              <a:t>Видатки загального фонду за функціональною структурою</a:t>
            </a:r>
            <a:br>
              <a:rPr lang="uk-UA" sz="1200" b="1" i="0" baseline="0">
                <a:effectLst/>
                <a:latin typeface="Times New Roman" panose="02020603050405020304" pitchFamily="18" charset="0"/>
                <a:cs typeface="Times New Roman" panose="02020603050405020304" pitchFamily="18" charset="0"/>
              </a:rPr>
            </a:br>
            <a:r>
              <a:rPr lang="uk-UA" sz="1200" b="1" i="0" baseline="0">
                <a:effectLst/>
                <a:latin typeface="Times New Roman" panose="02020603050405020304" pitchFamily="18" charset="0"/>
                <a:cs typeface="Times New Roman" panose="02020603050405020304" pitchFamily="18" charset="0"/>
              </a:rPr>
              <a:t>Звенигородської МТГ за січень-вересень 2023 року, тис.грн</a:t>
            </a:r>
            <a:endParaRPr lang="uk-UA" sz="1200">
              <a:effectLst/>
              <a:latin typeface="Times New Roman" panose="02020603050405020304" pitchFamily="18" charset="0"/>
              <a:cs typeface="Times New Roman" panose="02020603050405020304" pitchFamily="18" charset="0"/>
            </a:endParaRPr>
          </a:p>
        </c:rich>
      </c:tx>
      <c:layout>
        <c:manualLayout>
          <c:xMode val="edge"/>
          <c:yMode val="edge"/>
          <c:x val="0.15857583774250442"/>
          <c:y val="3.7839697282421737E-2"/>
        </c:manualLayout>
      </c:layout>
      <c:overlay val="0"/>
      <c:spPr>
        <a:gradFill flip="none" rotWithShape="1">
          <a:gsLst>
            <a:gs pos="35000">
              <a:schemeClr val="accent6">
                <a:lumMod val="20000"/>
                <a:lumOff val="80000"/>
              </a:schemeClr>
            </a:gs>
            <a:gs pos="83000">
              <a:schemeClr val="accent1">
                <a:lumMod val="45000"/>
                <a:lumOff val="55000"/>
              </a:schemeClr>
            </a:gs>
            <a:gs pos="100000">
              <a:schemeClr val="accent1">
                <a:lumMod val="30000"/>
                <a:lumOff val="70000"/>
              </a:schemeClr>
            </a:gs>
          </a:gsLst>
          <a:lin ang="2700000" scaled="1"/>
          <a:tileRect/>
        </a:gradFill>
        <a:ln cap="rnd">
          <a:solidFill>
            <a:srgbClr val="00B050"/>
          </a:solidFill>
        </a:ln>
        <a:effectLst>
          <a:glow rad="63500">
            <a:schemeClr val="accent1">
              <a:satMod val="175000"/>
              <a:alpha val="40000"/>
            </a:schemeClr>
          </a:glow>
          <a:outerShdw blurRad="50800" dist="38100" dir="2700000" algn="tl" rotWithShape="0">
            <a:prstClr val="black">
              <a:alpha val="40000"/>
            </a:prstClr>
          </a:outerShdw>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lang="en-US" sz="1150" b="1" i="0" u="none" strike="noStrike" kern="1200" baseline="0">
              <a:solidFill>
                <a:srgbClr val="44546A"/>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21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0772247219097612"/>
          <c:y val="0.21137905216778977"/>
          <c:w val="0.62995458900970713"/>
          <c:h val="0.53486527333606104"/>
        </c:manualLayout>
      </c:layout>
      <c:pie3DChart>
        <c:varyColors val="1"/>
        <c:ser>
          <c:idx val="0"/>
          <c:order val="0"/>
          <c:explosion val="1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1F1F-441C-B041-7339AC318B7A}"/>
              </c:ext>
            </c:extLst>
          </c:dPt>
          <c:dPt>
            <c:idx val="1"/>
            <c:bubble3D val="0"/>
            <c:explosion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03-1F1F-441C-B041-7339AC318B7A}"/>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05-1F1F-441C-B041-7339AC318B7A}"/>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7-1F1F-441C-B041-7339AC318B7A}"/>
              </c:ext>
            </c:extLst>
          </c:dPt>
          <c:dPt>
            <c:idx val="4"/>
            <c:bubble3D val="0"/>
            <c:explosion val="1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09-1F1F-441C-B041-7339AC318B7A}"/>
              </c:ext>
            </c:extLst>
          </c:dPt>
          <c:dPt>
            <c:idx val="5"/>
            <c:bubble3D val="0"/>
            <c:explosion val="24"/>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extLst>
              <c:ext xmlns:c16="http://schemas.microsoft.com/office/drawing/2014/chart" uri="{C3380CC4-5D6E-409C-BE32-E72D297353CC}">
                <c16:uniqueId val="{0000000B-1F1F-441C-B041-7339AC318B7A}"/>
              </c:ext>
            </c:extLst>
          </c:dPt>
          <c:dPt>
            <c:idx val="6"/>
            <c:bubble3D val="0"/>
            <c:explosion val="31"/>
            <c:spPr>
              <a:solidFill>
                <a:srgbClr val="FF0000"/>
              </a:solidFill>
              <a:ln>
                <a:noFill/>
              </a:ln>
              <a:effectLst/>
              <a:sp3d/>
            </c:spPr>
            <c:extLst>
              <c:ext xmlns:c16="http://schemas.microsoft.com/office/drawing/2014/chart" uri="{C3380CC4-5D6E-409C-BE32-E72D297353CC}">
                <c16:uniqueId val="{0000000D-1F1F-441C-B041-7339AC318B7A}"/>
              </c:ext>
            </c:extLst>
          </c:dPt>
          <c:dPt>
            <c:idx val="7"/>
            <c:bubble3D val="0"/>
            <c:explosion val="31"/>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0F-1F1F-441C-B041-7339AC318B7A}"/>
              </c:ext>
            </c:extLst>
          </c:dPt>
          <c:dLbls>
            <c:dLbl>
              <c:idx val="0"/>
              <c:layout>
                <c:manualLayout>
                  <c:x val="-7.9643863961449263E-2"/>
                  <c:y val="-0.14813415350944914"/>
                </c:manualLayout>
              </c:layout>
              <c:tx>
                <c:rich>
                  <a:bodyPr/>
                  <a:lstStyle/>
                  <a:p>
                    <a:fld id="{C7A618C4-B5BD-4AF3-95C7-60BF6F928E89}" type="CATEGORYNAME">
                      <a:rPr lang="uk-UA"/>
                      <a:pPr/>
                      <a:t>[ИМЯ КАТЕГОРИИ]</a:t>
                    </a:fld>
                    <a:r>
                      <a:rPr lang="uk-UA" baseline="0"/>
                      <a:t>; </a:t>
                    </a:r>
                    <a:fld id="{A987CFA9-61F9-4461-8810-DA1C04F870BD}" type="VALUE">
                      <a:rPr lang="uk-UA" baseline="0"/>
                      <a:pPr/>
                      <a:t>[ЗНАЧЕНИЕ]</a:t>
                    </a:fld>
                    <a:r>
                      <a:rPr lang="uk-UA" baseline="0"/>
                      <a:t>; 12,9%</a:t>
                    </a:r>
                  </a:p>
                </c:rich>
              </c:tx>
              <c:dLblPos val="bestFit"/>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1-1F1F-441C-B041-7339AC318B7A}"/>
                </c:ext>
              </c:extLst>
            </c:dLbl>
            <c:dLbl>
              <c:idx val="1"/>
              <c:layout>
                <c:manualLayout>
                  <c:x val="0.29728792581482855"/>
                  <c:y val="6.6645132980668445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fld id="{52AB7922-7C7D-475F-A85F-F3F8914D11A4}" type="CATEGORYNAME">
                      <a:rPr lang="uk-UA"/>
                      <a:pPr>
                        <a:defRPr b="1">
                          <a:latin typeface="Times New Roman" panose="02020603050405020304" pitchFamily="18" charset="0"/>
                          <a:cs typeface="Times New Roman" panose="02020603050405020304" pitchFamily="18" charset="0"/>
                        </a:defRPr>
                      </a:pPr>
                      <a:t>[ИМЯ КАТЕГОРИИ]</a:t>
                    </a:fld>
                    <a:r>
                      <a:rPr lang="uk-UA" baseline="0"/>
                      <a:t>; </a:t>
                    </a:r>
                    <a:fld id="{8AE88499-6490-40E9-8B29-48426EFE1690}" type="VALUE">
                      <a:rPr lang="uk-UA" baseline="0"/>
                      <a:pPr>
                        <a:defRPr b="1">
                          <a:latin typeface="Times New Roman" panose="02020603050405020304" pitchFamily="18" charset="0"/>
                          <a:cs typeface="Times New Roman" panose="02020603050405020304" pitchFamily="18" charset="0"/>
                        </a:defRPr>
                      </a:pPr>
                      <a:t>[ЗНАЧЕНИЕ]</a:t>
                    </a:fld>
                    <a:r>
                      <a:rPr lang="uk-UA" baseline="0"/>
                      <a:t>; 53,9%</a:t>
                    </a:r>
                  </a:p>
                </c:rich>
              </c:tx>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598544973544973"/>
                      <c:h val="0.13421703782255212"/>
                    </c:manualLayout>
                  </c15:layout>
                  <c15:dlblFieldTable/>
                  <c15:showDataLabelsRange val="0"/>
                </c:ext>
                <c:ext xmlns:c16="http://schemas.microsoft.com/office/drawing/2014/chart" uri="{C3380CC4-5D6E-409C-BE32-E72D297353CC}">
                  <c16:uniqueId val="{00000003-1F1F-441C-B041-7339AC318B7A}"/>
                </c:ext>
              </c:extLst>
            </c:dLbl>
            <c:dLbl>
              <c:idx val="2"/>
              <c:layout>
                <c:manualLayout>
                  <c:x val="6.4390649085531007E-2"/>
                  <c:y val="-8.5740272732997558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fld id="{9CF9390F-06BD-42A4-8B0D-8E15FE67A5B8}" type="CATEGORYNAME">
                      <a:rPr lang="uk-UA"/>
                      <a:pPr>
                        <a:defRPr b="1">
                          <a:latin typeface="Times New Roman" panose="02020603050405020304" pitchFamily="18" charset="0"/>
                          <a:cs typeface="Times New Roman" panose="02020603050405020304" pitchFamily="18" charset="0"/>
                        </a:defRPr>
                      </a:pPr>
                      <a:t>[ИМЯ КАТЕГОРИИ]</a:t>
                    </a:fld>
                    <a:r>
                      <a:rPr lang="uk-UA" baseline="0"/>
                      <a:t>; </a:t>
                    </a:r>
                    <a:fld id="{BD4D3672-E9A1-4363-8D81-BDAA35853F4A}" type="VALUE">
                      <a:rPr lang="uk-UA" baseline="0"/>
                      <a:pPr>
                        <a:defRPr b="1">
                          <a:latin typeface="Times New Roman" panose="02020603050405020304" pitchFamily="18" charset="0"/>
                          <a:cs typeface="Times New Roman" panose="02020603050405020304" pitchFamily="18" charset="0"/>
                        </a:defRPr>
                      </a:pPr>
                      <a:t>[ЗНАЧЕНИЕ]</a:t>
                    </a:fld>
                    <a:r>
                      <a:rPr lang="uk-UA" baseline="0"/>
                      <a:t>; </a:t>
                    </a:r>
                    <a:fld id="{ABC82728-DBD4-4817-B75C-A2665133ACED}" type="PERCENTAGE">
                      <a:rPr lang="uk-UA" baseline="0"/>
                      <a:pPr>
                        <a:defRPr b="1">
                          <a:latin typeface="Times New Roman" panose="02020603050405020304" pitchFamily="18" charset="0"/>
                          <a:cs typeface="Times New Roman" panose="02020603050405020304" pitchFamily="18" charset="0"/>
                        </a:defRPr>
                      </a:pPr>
                      <a:t>[ПРОЦЕНТ]</a:t>
                    </a:fld>
                    <a:endParaRPr lang="uk-UA" baseline="0"/>
                  </a:p>
                </c:rich>
              </c:tx>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7337572386784986"/>
                      <c:h val="0.16005745999721965"/>
                    </c:manualLayout>
                  </c15:layout>
                  <c15:dlblFieldTable/>
                  <c15:showDataLabelsRange val="0"/>
                </c:ext>
                <c:ext xmlns:c16="http://schemas.microsoft.com/office/drawing/2014/chart" uri="{C3380CC4-5D6E-409C-BE32-E72D297353CC}">
                  <c16:uniqueId val="{00000005-1F1F-441C-B041-7339AC318B7A}"/>
                </c:ext>
              </c:extLst>
            </c:dLbl>
            <c:dLbl>
              <c:idx val="3"/>
              <c:layout>
                <c:manualLayout>
                  <c:x val="9.766730547570443E-2"/>
                  <c:y val="1.7087576592536617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1F1F-441C-B041-7339AC318B7A}"/>
                </c:ext>
              </c:extLst>
            </c:dLbl>
            <c:dLbl>
              <c:idx val="4"/>
              <c:layout>
                <c:manualLayout>
                  <c:x val="-3.4249017483925621E-2"/>
                  <c:y val="0.16529955598012902"/>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9027777777777777"/>
                      <c:h val="0.12395954375672082"/>
                    </c:manualLayout>
                  </c15:layout>
                </c:ext>
                <c:ext xmlns:c16="http://schemas.microsoft.com/office/drawing/2014/chart" uri="{C3380CC4-5D6E-409C-BE32-E72D297353CC}">
                  <c16:uniqueId val="{00000009-1F1F-441C-B041-7339AC318B7A}"/>
                </c:ext>
              </c:extLst>
            </c:dLbl>
            <c:dLbl>
              <c:idx val="5"/>
              <c:layout>
                <c:manualLayout>
                  <c:x val="-0.13028545042980738"/>
                  <c:y val="0.1114418585861466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fld id="{405CBEA0-31D5-47CC-BCA5-DCCB90A1E78A}" type="CATEGORYNAME">
                      <a:rPr lang="uk-UA"/>
                      <a:pPr>
                        <a:defRPr b="1">
                          <a:latin typeface="Times New Roman" panose="02020603050405020304" pitchFamily="18" charset="0"/>
                          <a:cs typeface="Times New Roman" panose="02020603050405020304" pitchFamily="18" charset="0"/>
                        </a:defRPr>
                      </a:pPr>
                      <a:t>[ИМЯ КАТЕГОРИИ]</a:t>
                    </a:fld>
                    <a:r>
                      <a:rPr lang="uk-UA" baseline="0"/>
                      <a:t>; </a:t>
                    </a:r>
                    <a:fld id="{9F49C918-855B-4CB9-B05D-0E518B5C7671}" type="VALUE">
                      <a:rPr lang="uk-UA" baseline="0"/>
                      <a:pPr>
                        <a:defRPr b="1">
                          <a:latin typeface="Times New Roman" panose="02020603050405020304" pitchFamily="18" charset="0"/>
                          <a:cs typeface="Times New Roman" panose="02020603050405020304" pitchFamily="18" charset="0"/>
                        </a:defRPr>
                      </a:pPr>
                      <a:t>[ЗНАЧЕНИЕ]</a:t>
                    </a:fld>
                    <a:r>
                      <a:rPr lang="uk-UA" baseline="0"/>
                      <a:t>; 10,1%</a:t>
                    </a:r>
                  </a:p>
                </c:rich>
              </c:tx>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5656966490299823"/>
                      <c:h val="0.12965256277949777"/>
                    </c:manualLayout>
                  </c15:layout>
                  <c15:dlblFieldTable/>
                  <c15:showDataLabelsRange val="0"/>
                </c:ext>
                <c:ext xmlns:c16="http://schemas.microsoft.com/office/drawing/2014/chart" uri="{C3380CC4-5D6E-409C-BE32-E72D297353CC}">
                  <c16:uniqueId val="{0000000B-1F1F-441C-B041-7339AC318B7A}"/>
                </c:ext>
              </c:extLst>
            </c:dLbl>
            <c:dLbl>
              <c:idx val="6"/>
              <c:layout>
                <c:manualLayout>
                  <c:x val="-0.17391142079462291"/>
                  <c:y val="7.752736403305624E-2"/>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7352292768959435"/>
                      <c:h val="0.16179924103914253"/>
                    </c:manualLayout>
                  </c15:layout>
                </c:ext>
                <c:ext xmlns:c16="http://schemas.microsoft.com/office/drawing/2014/chart" uri="{C3380CC4-5D6E-409C-BE32-E72D297353CC}">
                  <c16:uniqueId val="{0000000D-1F1F-441C-B041-7339AC318B7A}"/>
                </c:ext>
              </c:extLst>
            </c:dLbl>
            <c:dLbl>
              <c:idx val="7"/>
              <c:layout>
                <c:manualLayout>
                  <c:x val="-0.13582329986529462"/>
                  <c:y val="-6.9009910912838812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F-1F1F-441C-B041-7339AC318B7A}"/>
                </c:ext>
              </c:extLst>
            </c:dLbl>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inEnd"/>
            <c:showLegendKey val="0"/>
            <c:showVal val="1"/>
            <c:showCatName val="1"/>
            <c:showSerName val="0"/>
            <c:showPercent val="1"/>
            <c:showBubbleSize val="0"/>
            <c:separator>; </c:separator>
            <c:showLeaderLines val="1"/>
            <c:leaderLines>
              <c:spPr>
                <a:ln w="15875">
                  <a:solidFill>
                    <a:srgbClr val="00B050"/>
                  </a:solidFill>
                </a:ln>
                <a:effectLst/>
              </c:spPr>
            </c:leaderLines>
            <c:extLst>
              <c:ext xmlns:c15="http://schemas.microsoft.com/office/drawing/2012/chart" uri="{CE6537A1-D6FC-4f65-9D91-7224C49458BB}"/>
            </c:extLst>
          </c:dLbls>
          <c:cat>
            <c:strRef>
              <c:f>'Стр-ра вид. функц. структурою '!$A$3:$A$10</c:f>
              <c:strCache>
                <c:ptCount val="8"/>
                <c:pt idx="0">
                  <c:v>Державне управління, тис.грн</c:v>
                </c:pt>
                <c:pt idx="1">
                  <c:v>Освіта, тис.грн</c:v>
                </c:pt>
                <c:pt idx="2">
                  <c:v>Охорона здоров`я,  тис.грн</c:v>
                </c:pt>
                <c:pt idx="3">
                  <c:v>Соціальний захист та соціальне забезпечення, тис.грн</c:v>
                </c:pt>
                <c:pt idx="4">
                  <c:v>Культура і мистецтво, тис.грн</c:v>
                </c:pt>
                <c:pt idx="5">
                  <c:v>ЖКГ, тис.грн</c:v>
                </c:pt>
                <c:pt idx="6">
                  <c:v>Економічна діяльність , тис.грн</c:v>
                </c:pt>
                <c:pt idx="7">
                  <c:v>Інші видатки, тис.грн</c:v>
                </c:pt>
              </c:strCache>
            </c:strRef>
          </c:cat>
          <c:val>
            <c:numRef>
              <c:f>'Стр-ра вид. функц. структурою '!$B$3:$B$10</c:f>
              <c:numCache>
                <c:formatCode>#,##0.0</c:formatCode>
                <c:ptCount val="8"/>
                <c:pt idx="0">
                  <c:v>25401.5</c:v>
                </c:pt>
                <c:pt idx="1">
                  <c:v>105766.7</c:v>
                </c:pt>
                <c:pt idx="2">
                  <c:v>13731</c:v>
                </c:pt>
                <c:pt idx="3">
                  <c:v>11725</c:v>
                </c:pt>
                <c:pt idx="4">
                  <c:v>6596.9</c:v>
                </c:pt>
                <c:pt idx="5">
                  <c:v>19880.8</c:v>
                </c:pt>
                <c:pt idx="6">
                  <c:v>8221.6</c:v>
                </c:pt>
                <c:pt idx="7">
                  <c:v>4831.6000000000004</c:v>
                </c:pt>
              </c:numCache>
            </c:numRef>
          </c:val>
          <c:extLst>
            <c:ext xmlns:c16="http://schemas.microsoft.com/office/drawing/2014/chart" uri="{C3380CC4-5D6E-409C-BE32-E72D297353CC}">
              <c16:uniqueId val="{00000010-1F1F-441C-B041-7339AC318B7A}"/>
            </c:ext>
          </c:extLst>
        </c:ser>
        <c:ser>
          <c:idx val="1"/>
          <c:order val="1"/>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12-1F1F-441C-B041-7339AC318B7A}"/>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14-1F1F-441C-B041-7339AC318B7A}"/>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16-1F1F-441C-B041-7339AC318B7A}"/>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18-1F1F-441C-B041-7339AC318B7A}"/>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1A-1F1F-441C-B041-7339AC318B7A}"/>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extLst>
              <c:ext xmlns:c16="http://schemas.microsoft.com/office/drawing/2014/chart" uri="{C3380CC4-5D6E-409C-BE32-E72D297353CC}">
                <c16:uniqueId val="{0000001C-1F1F-441C-B041-7339AC318B7A}"/>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1E-1F1F-441C-B041-7339AC318B7A}"/>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20-1F1F-441C-B041-7339AC318B7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'Стр-ра вид. функц. структурою '!$A$3:$A$10</c:f>
              <c:strCache>
                <c:ptCount val="8"/>
                <c:pt idx="0">
                  <c:v>Державне управління, тис.грн</c:v>
                </c:pt>
                <c:pt idx="1">
                  <c:v>Освіта, тис.грн</c:v>
                </c:pt>
                <c:pt idx="2">
                  <c:v>Охорона здоров`я,  тис.грн</c:v>
                </c:pt>
                <c:pt idx="3">
                  <c:v>Соціальний захист та соціальне забезпечення, тис.грн</c:v>
                </c:pt>
                <c:pt idx="4">
                  <c:v>Культура і мистецтво, тис.грн</c:v>
                </c:pt>
                <c:pt idx="5">
                  <c:v>ЖКГ, тис.грн</c:v>
                </c:pt>
                <c:pt idx="6">
                  <c:v>Економічна діяльність , тис.грн</c:v>
                </c:pt>
                <c:pt idx="7">
                  <c:v>Інші видатки, тис.грн</c:v>
                </c:pt>
              </c:strCache>
            </c:strRef>
          </c:cat>
          <c:val>
            <c:numRef>
              <c:f>'Стр-ра вид. функц. структурою '!$C$3:$C$10</c:f>
              <c:numCache>
                <c:formatCode>0.0</c:formatCode>
                <c:ptCount val="8"/>
                <c:pt idx="0">
                  <c:v>12.949701537201939</c:v>
                </c:pt>
                <c:pt idx="1">
                  <c:v>53.919933766697881</c:v>
                </c:pt>
                <c:pt idx="2">
                  <c:v>7.0000729014947867</c:v>
                </c:pt>
                <c:pt idx="3">
                  <c:v>5.9774127718320855</c:v>
                </c:pt>
                <c:pt idx="4">
                  <c:v>3.3631039927078112</c:v>
                </c:pt>
                <c:pt idx="5">
                  <c:v>10.135245017845572</c:v>
                </c:pt>
                <c:pt idx="6">
                  <c:v>4.1913771296285436</c:v>
                </c:pt>
                <c:pt idx="7">
                  <c:v>2.4631528825913782</c:v>
                </c:pt>
              </c:numCache>
            </c:numRef>
          </c:val>
          <c:extLst>
            <c:ext xmlns:c16="http://schemas.microsoft.com/office/drawing/2014/chart" uri="{C3380CC4-5D6E-409C-BE32-E72D297353CC}">
              <c16:uniqueId val="{00000021-1F1F-441C-B041-7339AC318B7A}"/>
            </c:ext>
          </c:extLst>
        </c:ser>
        <c:dLbls>
          <c:dLblPos val="in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lang="en-US" sz="1150" b="1" i="0" u="none" strike="noStrike" kern="1200" baseline="0">
                <a:solidFill>
                  <a:srgbClr val="44546A"/>
                </a:solidFill>
                <a:latin typeface="Times New Roman" panose="02020603050405020304" pitchFamily="18" charset="0"/>
                <a:ea typeface="+mn-ea"/>
                <a:cs typeface="Times New Roman" panose="02020603050405020304" pitchFamily="18" charset="0"/>
              </a:defRPr>
            </a:pPr>
            <a:r>
              <a:rPr lang="uk-UA" sz="1200" b="1" i="0" baseline="0">
                <a:effectLst/>
              </a:rPr>
              <a:t>Видатки загального фонду за економічною структурою</a:t>
            </a:r>
            <a:br>
              <a:rPr lang="uk-UA" sz="1200" b="1" i="0" baseline="0">
                <a:effectLst/>
              </a:rPr>
            </a:br>
            <a:r>
              <a:rPr lang="uk-UA" sz="1200" b="1" i="0" baseline="0">
                <a:effectLst/>
              </a:rPr>
              <a:t>Звенигородської МТГ за січень-вересень 2023 року, тис.грн</a:t>
            </a:r>
            <a:endParaRPr lang="uk-UA" sz="1200">
              <a:effectLst/>
            </a:endParaRPr>
          </a:p>
        </c:rich>
      </c:tx>
      <c:layout>
        <c:manualLayout>
          <c:xMode val="edge"/>
          <c:yMode val="edge"/>
          <c:x val="0.18723544973544973"/>
          <c:y val="3.5958288385472853E-2"/>
        </c:manualLayout>
      </c:layout>
      <c:overlay val="0"/>
      <c:spPr>
        <a:gradFill flip="none" rotWithShape="1">
          <a:gsLst>
            <a:gs pos="35000">
              <a:schemeClr val="accent6">
                <a:lumMod val="20000"/>
                <a:lumOff val="80000"/>
              </a:schemeClr>
            </a:gs>
            <a:gs pos="83000">
              <a:schemeClr val="accent1">
                <a:lumMod val="45000"/>
                <a:lumOff val="55000"/>
              </a:schemeClr>
            </a:gs>
            <a:gs pos="100000">
              <a:schemeClr val="accent1">
                <a:lumMod val="30000"/>
                <a:lumOff val="70000"/>
              </a:schemeClr>
            </a:gs>
          </a:gsLst>
          <a:lin ang="2700000" scaled="1"/>
          <a:tileRect/>
        </a:gradFill>
        <a:ln cap="rnd">
          <a:solidFill>
            <a:srgbClr val="00B050"/>
          </a:solidFill>
        </a:ln>
        <a:effectLst>
          <a:glow rad="63500">
            <a:schemeClr val="accent1">
              <a:satMod val="175000"/>
              <a:alpha val="40000"/>
            </a:schemeClr>
          </a:glow>
          <a:outerShdw blurRad="50800" dist="38100" dir="2700000" algn="tl" rotWithShape="0">
            <a:prstClr val="black">
              <a:alpha val="40000"/>
            </a:prstClr>
          </a:outerShdw>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lang="en-US" sz="1150" b="1" i="0" u="none" strike="noStrike" kern="1200" baseline="0">
              <a:solidFill>
                <a:srgbClr val="44546A"/>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27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1213164326681386"/>
          <c:y val="0.21137895788916353"/>
          <c:w val="0.62995458900970713"/>
          <c:h val="0.53486527333606104"/>
        </c:manualLayout>
      </c:layout>
      <c:pie3DChart>
        <c:varyColors val="1"/>
        <c:ser>
          <c:idx val="0"/>
          <c:order val="0"/>
          <c:explosion val="10"/>
          <c:dPt>
            <c:idx val="0"/>
            <c:bubble3D val="0"/>
            <c:spPr>
              <a:solidFill>
                <a:schemeClr val="accent5">
                  <a:lumMod val="75000"/>
                </a:schemeClr>
              </a:solidFill>
              <a:ln>
                <a:noFill/>
              </a:ln>
              <a:effectLst/>
              <a:sp3d/>
            </c:spPr>
            <c:extLst>
              <c:ext xmlns:c16="http://schemas.microsoft.com/office/drawing/2014/chart" uri="{C3380CC4-5D6E-409C-BE32-E72D297353CC}">
                <c16:uniqueId val="{00000001-4EFE-4534-8236-FC71B2ABCA65}"/>
              </c:ext>
            </c:extLst>
          </c:dPt>
          <c:dPt>
            <c:idx val="1"/>
            <c:bubble3D val="0"/>
            <c:explosion val="0"/>
            <c:spPr>
              <a:solidFill>
                <a:srgbClr val="FFFF00"/>
              </a:solidFill>
              <a:ln>
                <a:noFill/>
              </a:ln>
              <a:effectLst/>
              <a:sp3d/>
            </c:spPr>
            <c:extLst>
              <c:ext xmlns:c16="http://schemas.microsoft.com/office/drawing/2014/chart" uri="{C3380CC4-5D6E-409C-BE32-E72D297353CC}">
                <c16:uniqueId val="{00000003-4EFE-4534-8236-FC71B2ABCA65}"/>
              </c:ext>
            </c:extLst>
          </c:dPt>
          <c:dPt>
            <c:idx val="2"/>
            <c:bubble3D val="0"/>
            <c:spPr>
              <a:solidFill>
                <a:srgbClr val="FF0000"/>
              </a:solidFill>
              <a:ln>
                <a:noFill/>
              </a:ln>
              <a:effectLst/>
              <a:sp3d/>
            </c:spPr>
            <c:extLst>
              <c:ext xmlns:c16="http://schemas.microsoft.com/office/drawing/2014/chart" uri="{C3380CC4-5D6E-409C-BE32-E72D297353CC}">
                <c16:uniqueId val="{00000005-4EFE-4534-8236-FC71B2ABCA65}"/>
              </c:ext>
            </c:extLst>
          </c:dPt>
          <c:dPt>
            <c:idx val="3"/>
            <c:bubble3D val="0"/>
            <c:explosion val="14"/>
            <c:spPr>
              <a:solidFill>
                <a:schemeClr val="accent2">
                  <a:lumMod val="60000"/>
                  <a:lumOff val="40000"/>
                </a:schemeClr>
              </a:solidFill>
              <a:ln>
                <a:noFill/>
              </a:ln>
              <a:effectLst/>
              <a:sp3d/>
            </c:spPr>
            <c:extLst>
              <c:ext xmlns:c16="http://schemas.microsoft.com/office/drawing/2014/chart" uri="{C3380CC4-5D6E-409C-BE32-E72D297353CC}">
                <c16:uniqueId val="{00000007-4EFE-4534-8236-FC71B2ABCA65}"/>
              </c:ext>
            </c:extLst>
          </c:dPt>
          <c:dPt>
            <c:idx val="4"/>
            <c:bubble3D val="0"/>
            <c:explosion val="18"/>
            <c:spPr>
              <a:solidFill>
                <a:schemeClr val="accent6">
                  <a:lumMod val="75000"/>
                </a:schemeClr>
              </a:solidFill>
              <a:ln>
                <a:noFill/>
              </a:ln>
              <a:effectLst/>
              <a:sp3d/>
            </c:spPr>
            <c:extLst>
              <c:ext xmlns:c16="http://schemas.microsoft.com/office/drawing/2014/chart" uri="{C3380CC4-5D6E-409C-BE32-E72D297353CC}">
                <c16:uniqueId val="{00000009-4EFE-4534-8236-FC71B2ABCA65}"/>
              </c:ext>
            </c:extLst>
          </c:dPt>
          <c:dPt>
            <c:idx val="5"/>
            <c:bubble3D val="0"/>
            <c:explosion val="24"/>
            <c:spPr>
              <a:solidFill>
                <a:schemeClr val="accent1">
                  <a:lumMod val="60000"/>
                  <a:lumOff val="40000"/>
                </a:schemeClr>
              </a:solidFill>
              <a:ln>
                <a:noFill/>
              </a:ln>
              <a:effectLst/>
              <a:sp3d/>
            </c:spPr>
            <c:extLst>
              <c:ext xmlns:c16="http://schemas.microsoft.com/office/drawing/2014/chart" uri="{C3380CC4-5D6E-409C-BE32-E72D297353CC}">
                <c16:uniqueId val="{0000000B-4EFE-4534-8236-FC71B2ABCA65}"/>
              </c:ext>
            </c:extLst>
          </c:dPt>
          <c:dPt>
            <c:idx val="6"/>
            <c:bubble3D val="0"/>
            <c:explosion val="31"/>
            <c:spPr>
              <a:solidFill>
                <a:srgbClr val="FF0000"/>
              </a:solidFill>
              <a:ln>
                <a:noFill/>
              </a:ln>
              <a:effectLst/>
              <a:sp3d/>
            </c:spPr>
            <c:extLst>
              <c:ext xmlns:c16="http://schemas.microsoft.com/office/drawing/2014/chart" uri="{C3380CC4-5D6E-409C-BE32-E72D297353CC}">
                <c16:uniqueId val="{0000000D-4EFE-4534-8236-FC71B2ABCA65}"/>
              </c:ext>
            </c:extLst>
          </c:dPt>
          <c:dPt>
            <c:idx val="7"/>
            <c:bubble3D val="0"/>
            <c:explosion val="31"/>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0F-4EFE-4534-8236-FC71B2ABCA65}"/>
              </c:ext>
            </c:extLst>
          </c:dPt>
          <c:dLbls>
            <c:dLbl>
              <c:idx val="0"/>
              <c:layout>
                <c:manualLayout>
                  <c:x val="9.6335006735269207E-2"/>
                  <c:y val="5.5795654992964037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4EFE-4534-8236-FC71B2ABCA65}"/>
                </c:ext>
              </c:extLst>
            </c:dLbl>
            <c:dLbl>
              <c:idx val="1"/>
              <c:layout>
                <c:manualLayout>
                  <c:x val="0.31463350067352691"/>
                  <c:y val="0.1395099479878931"/>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9733245149911813"/>
                      <c:h val="0.16657946073892868"/>
                    </c:manualLayout>
                  </c15:layout>
                </c:ext>
                <c:ext xmlns:c16="http://schemas.microsoft.com/office/drawing/2014/chart" uri="{C3380CC4-5D6E-409C-BE32-E72D297353CC}">
                  <c16:uniqueId val="{00000003-4EFE-4534-8236-FC71B2ABCA65}"/>
                </c:ext>
              </c:extLst>
            </c:dLbl>
            <c:dLbl>
              <c:idx val="2"/>
              <c:layout>
                <c:manualLayout>
                  <c:x val="0.28947996083822858"/>
                  <c:y val="0.13296239826785577"/>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1905855518060244"/>
                      <c:h val="0.16512180009329072"/>
                    </c:manualLayout>
                  </c15:layout>
                </c:ext>
                <c:ext xmlns:c16="http://schemas.microsoft.com/office/drawing/2014/chart" uri="{C3380CC4-5D6E-409C-BE32-E72D297353CC}">
                  <c16:uniqueId val="{00000005-4EFE-4534-8236-FC71B2ABCA65}"/>
                </c:ext>
              </c:extLst>
            </c:dLbl>
            <c:dLbl>
              <c:idx val="3"/>
              <c:layout>
                <c:manualLayout>
                  <c:x val="-5.1423780360788228E-2"/>
                  <c:y val="0.14465603184134901"/>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9529312308183699"/>
                      <c:h val="0.15502969290642379"/>
                    </c:manualLayout>
                  </c15:layout>
                </c:ext>
                <c:ext xmlns:c16="http://schemas.microsoft.com/office/drawing/2014/chart" uri="{C3380CC4-5D6E-409C-BE32-E72D297353CC}">
                  <c16:uniqueId val="{00000007-4EFE-4534-8236-FC71B2ABCA65}"/>
                </c:ext>
              </c:extLst>
            </c:dLbl>
            <c:dLbl>
              <c:idx val="4"/>
              <c:layout>
                <c:manualLayout>
                  <c:x val="-5.0505926342540516E-2"/>
                  <c:y val="-1.440812603994799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fld id="{50EC2192-8277-4100-96D8-A0D151F37FC3}" type="CATEGORYNAME">
                      <a:rPr lang="uk-UA"/>
                      <a:pPr>
                        <a:defRPr b="1">
                          <a:latin typeface="Times New Roman" panose="02020603050405020304" pitchFamily="18" charset="0"/>
                          <a:cs typeface="Times New Roman" panose="02020603050405020304" pitchFamily="18" charset="0"/>
                        </a:defRPr>
                      </a:pPr>
                      <a:t>[ИМЯ КАТЕГОРИИ]</a:t>
                    </a:fld>
                    <a:r>
                      <a:rPr lang="uk-UA" baseline="0"/>
                      <a:t>; </a:t>
                    </a:r>
                    <a:fld id="{DD84FA43-A570-4DE6-AAB7-F7D9E9E4FEEE}" type="VALUE">
                      <a:rPr lang="uk-UA" baseline="0"/>
                      <a:pPr>
                        <a:defRPr b="1">
                          <a:latin typeface="Times New Roman" panose="02020603050405020304" pitchFamily="18" charset="0"/>
                          <a:cs typeface="Times New Roman" panose="02020603050405020304" pitchFamily="18" charset="0"/>
                        </a:defRPr>
                      </a:pPr>
                      <a:t>[ЗНАЧЕНИЕ]</a:t>
                    </a:fld>
                    <a:r>
                      <a:rPr lang="uk-UA" baseline="0"/>
                      <a:t>; 8,2%</a:t>
                    </a:r>
                  </a:p>
                </c:rich>
              </c:tx>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4098324514991179"/>
                      <c:h val="0.21985829491520814"/>
                    </c:manualLayout>
                  </c15:layout>
                  <c15:dlblFieldTable/>
                  <c15:showDataLabelsRange val="0"/>
                </c:ext>
                <c:ext xmlns:c16="http://schemas.microsoft.com/office/drawing/2014/chart" uri="{C3380CC4-5D6E-409C-BE32-E72D297353CC}">
                  <c16:uniqueId val="{00000009-4EFE-4534-8236-FC71B2ABCA65}"/>
                </c:ext>
              </c:extLst>
            </c:dLbl>
            <c:dLbl>
              <c:idx val="5"/>
              <c:layout>
                <c:manualLayout>
                  <c:x val="-2.6773736616256302E-2"/>
                  <c:y val="-0.12526410326030202"/>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8522927689594357"/>
                      <c:h val="0.19627254815959677"/>
                    </c:manualLayout>
                  </c15:layout>
                </c:ext>
                <c:ext xmlns:c16="http://schemas.microsoft.com/office/drawing/2014/chart" uri="{C3380CC4-5D6E-409C-BE32-E72D297353CC}">
                  <c16:uniqueId val="{0000000B-4EFE-4534-8236-FC71B2ABCA65}"/>
                </c:ext>
              </c:extLst>
            </c:dLbl>
            <c:dLbl>
              <c:idx val="6"/>
              <c:layout>
                <c:manualLayout>
                  <c:x val="-0.17391142079462291"/>
                  <c:y val="7.752736403305624E-2"/>
                </c:manualLayout>
              </c:layout>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7352292768959435"/>
                      <c:h val="0.16179924103914253"/>
                    </c:manualLayout>
                  </c15:layout>
                </c:ext>
                <c:ext xmlns:c16="http://schemas.microsoft.com/office/drawing/2014/chart" uri="{C3380CC4-5D6E-409C-BE32-E72D297353CC}">
                  <c16:uniqueId val="{0000000D-4EFE-4534-8236-FC71B2ABCA65}"/>
                </c:ext>
              </c:extLst>
            </c:dLbl>
            <c:dLbl>
              <c:idx val="7"/>
              <c:layout>
                <c:manualLayout>
                  <c:x val="-0.13582329986529462"/>
                  <c:y val="-6.9009910912838812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F-4EFE-4534-8236-FC71B2ABCA65}"/>
                </c:ext>
              </c:extLst>
            </c:dLbl>
            <c:numFmt formatCode="0.0%" sourceLinked="0"/>
            <c:spPr>
              <a:solidFill>
                <a:schemeClr val="accent3">
                  <a:lumMod val="20000"/>
                  <a:lumOff val="80000"/>
                </a:schemeClr>
              </a:solidFill>
              <a:ln w="190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glow rad="139700">
                  <a:schemeClr val="accent3">
                    <a:satMod val="175000"/>
                    <a:alpha val="40000"/>
                  </a:schemeClr>
                </a:glow>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dLblPos val="inEnd"/>
            <c:showLegendKey val="0"/>
            <c:showVal val="1"/>
            <c:showCatName val="1"/>
            <c:showSerName val="0"/>
            <c:showPercent val="1"/>
            <c:showBubbleSize val="0"/>
            <c:separator>; </c:separator>
            <c:showLeaderLines val="1"/>
            <c:leaderLines>
              <c:spPr>
                <a:ln w="15875">
                  <a:solidFill>
                    <a:srgbClr val="00B050"/>
                  </a:solidFill>
                </a:ln>
                <a:effectLst/>
              </c:spPr>
            </c:leaderLines>
            <c:extLst>
              <c:ext xmlns:c15="http://schemas.microsoft.com/office/drawing/2012/chart" uri="{CE6537A1-D6FC-4f65-9D91-7224C49458BB}"/>
            </c:extLst>
          </c:dLbls>
          <c:cat>
            <c:strRef>
              <c:f>'Стр-ра вид. екон. стру-ю'!$A$3:$A$8</c:f>
              <c:strCache>
                <c:ptCount val="6"/>
                <c:pt idx="0">
                  <c:v>Заробітна плата з нарахуваннями, тис.грн</c:v>
                </c:pt>
                <c:pt idx="1">
                  <c:v>Оплата компослуг та енергоносіїв, тис.грн</c:v>
                </c:pt>
                <c:pt idx="2">
                  <c:v>Медикаменти та продукти харчування, тис.грн</c:v>
                </c:pt>
                <c:pt idx="3">
                  <c:v>Інші виплати населенню, тис.грн</c:v>
                </c:pt>
                <c:pt idx="4">
                  <c:v>Поточні трансферти  підприємствам  (установам, організаціям), тис.грн</c:v>
                </c:pt>
                <c:pt idx="5">
                  <c:v>Інші поточні видатки, тис.грн</c:v>
                </c:pt>
              </c:strCache>
            </c:strRef>
          </c:cat>
          <c:val>
            <c:numRef>
              <c:f>'Стр-ра вид. екон. стру-ю'!$B$3:$B$8</c:f>
              <c:numCache>
                <c:formatCode>#,##0.0</c:formatCode>
                <c:ptCount val="6"/>
                <c:pt idx="0">
                  <c:v>131980.4</c:v>
                </c:pt>
                <c:pt idx="1">
                  <c:v>21390.1</c:v>
                </c:pt>
                <c:pt idx="2">
                  <c:v>1534.8</c:v>
                </c:pt>
                <c:pt idx="3">
                  <c:v>3537.4</c:v>
                </c:pt>
                <c:pt idx="4">
                  <c:v>16206.5</c:v>
                </c:pt>
                <c:pt idx="5">
                  <c:v>21505.9</c:v>
                </c:pt>
              </c:numCache>
            </c:numRef>
          </c:val>
          <c:extLst>
            <c:ext xmlns:c16="http://schemas.microsoft.com/office/drawing/2014/chart" uri="{C3380CC4-5D6E-409C-BE32-E72D297353CC}">
              <c16:uniqueId val="{00000010-4EFE-4534-8236-FC71B2ABCA65}"/>
            </c:ext>
          </c:extLst>
        </c:ser>
        <c:ser>
          <c:idx val="1"/>
          <c:order val="1"/>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12-4EFE-4534-8236-FC71B2ABCA65}"/>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14-4EFE-4534-8236-FC71B2ABCA65}"/>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16-4EFE-4534-8236-FC71B2ABCA65}"/>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18-4EFE-4534-8236-FC71B2ABCA65}"/>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1A-4EFE-4534-8236-FC71B2ABCA65}"/>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extLst>
              <c:ext xmlns:c16="http://schemas.microsoft.com/office/drawing/2014/chart" uri="{C3380CC4-5D6E-409C-BE32-E72D297353CC}">
                <c16:uniqueId val="{0000001C-4EFE-4534-8236-FC71B2ABCA65}"/>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1E-4EFE-4534-8236-FC71B2ABCA65}"/>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20-4EFE-4534-8236-FC71B2ABCA6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'Стр-ра вид. екон. стру-ю'!$A$3:$A$8</c:f>
              <c:strCache>
                <c:ptCount val="6"/>
                <c:pt idx="0">
                  <c:v>Заробітна плата з нарахуваннями, тис.грн</c:v>
                </c:pt>
                <c:pt idx="1">
                  <c:v>Оплата компослуг та енергоносіїв, тис.грн</c:v>
                </c:pt>
                <c:pt idx="2">
                  <c:v>Медикаменти та продукти харчування, тис.грн</c:v>
                </c:pt>
                <c:pt idx="3">
                  <c:v>Інші виплати населенню, тис.грн</c:v>
                </c:pt>
                <c:pt idx="4">
                  <c:v>Поточні трансферти  підприємствам  (установам, організаціям), тис.грн</c:v>
                </c:pt>
                <c:pt idx="5">
                  <c:v>Інші поточні видатки, тис.грн</c:v>
                </c:pt>
              </c:strCache>
            </c:strRef>
          </c:cat>
          <c:val>
            <c:numRef>
              <c:f>'Стр-ра вид. екон. стру-ю'!$C$3:$C$8</c:f>
              <c:numCache>
                <c:formatCode>0.0</c:formatCode>
                <c:ptCount val="6"/>
                <c:pt idx="0">
                  <c:v>67.283695402260776</c:v>
                </c:pt>
                <c:pt idx="1">
                  <c:v>10.904687158274244</c:v>
                </c:pt>
                <c:pt idx="2">
                  <c:v>0.78244205733116301</c:v>
                </c:pt>
                <c:pt idx="3">
                  <c:v>1.8033688647401982</c:v>
                </c:pt>
                <c:pt idx="4">
                  <c:v>8.2620844423621929</c:v>
                </c:pt>
                <c:pt idx="5">
                  <c:v>10.963722075031443</c:v>
                </c:pt>
              </c:numCache>
            </c:numRef>
          </c:val>
          <c:extLst>
            <c:ext xmlns:c16="http://schemas.microsoft.com/office/drawing/2014/chart" uri="{C3380CC4-5D6E-409C-BE32-E72D297353CC}">
              <c16:uniqueId val="{00000021-4EFE-4534-8236-FC71B2ABCA65}"/>
            </c:ext>
          </c:extLst>
        </c:ser>
        <c:dLbls>
          <c:dLblPos val="inEnd"/>
          <c:showLegendKey val="0"/>
          <c:showVal val="0"/>
          <c:showCatName val="0"/>
          <c:showSerName val="0"/>
          <c:showPercent val="1"/>
          <c:showBubbleSize val="0"/>
          <c:showLeaderLines val="1"/>
        </c:dLbls>
      </c:pie3DChart>
      <c:spPr>
        <a:noFill/>
        <a:ln>
          <a:noFill/>
        </a:ln>
        <a:effectLst>
          <a:softEdge rad="63500"/>
        </a:effectLst>
      </c:spPr>
    </c:plotArea>
    <c:plotVisOnly val="1"/>
    <c:dispBlanksAs val="gap"/>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11</Pages>
  <Words>2612</Words>
  <Characters>14890</Characters>
  <Application>Microsoft Office Word</Application>
  <DocSecurity>0</DocSecurity>
  <Lines>124</Lines>
  <Paragraphs>34</Paragraphs>
  <ScaleCrop>false</ScaleCrop>
  <Company/>
  <LinksUpToDate>false</LinksUpToDate>
  <CharactersWithSpaces>17468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usr</cp:lastModifiedBy>
  <cp:revision>2</cp:revision>
  <dcterms:created xsi:type="dcterms:W3CDTF">2023-10-31T12:00:00Z</dcterms:created>
  <dcterms:modified xsi:type="dcterms:W3CDTF">2023-10-31T12:01:00Z</dcterms:modified>
</cp:coreProperties>
</file>