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68" w:rsidRPr="00F4180A" w:rsidRDefault="003A0568" w:rsidP="003A05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8150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3A0568" w:rsidRPr="00F4180A" w:rsidRDefault="003A0568" w:rsidP="003A05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3A0568" w:rsidRPr="00F4180A" w:rsidRDefault="003A0568" w:rsidP="003A05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3A0568" w:rsidRDefault="003A0568" w:rsidP="003A05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3A0568" w:rsidRDefault="003A0568" w:rsidP="003A056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3A0568" w:rsidRPr="00F4180A" w:rsidRDefault="003A0568" w:rsidP="003A056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№127</w:t>
      </w:r>
    </w:p>
    <w:p w:rsidR="003A0568" w:rsidRDefault="003A0568" w:rsidP="003A056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A0568" w:rsidRPr="00506F04" w:rsidRDefault="003A0568" w:rsidP="003A0568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0568" w:rsidRPr="00BF680C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«Про затвердження Програми</w:t>
      </w:r>
    </w:p>
    <w:p w:rsidR="003A0568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підтримки об'єднань співвласників </w:t>
      </w:r>
    </w:p>
    <w:p w:rsidR="003A0568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багатоквартирних будинків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</w:t>
      </w:r>
    </w:p>
    <w:p w:rsidR="003A0568" w:rsidRPr="00BF680C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 2017 рік</w:t>
      </w:r>
    </w:p>
    <w:p w:rsidR="003A0568" w:rsidRPr="00A63F29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3A0568" w:rsidRPr="00B04D59" w:rsidRDefault="003A0568" w:rsidP="003A0568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  <w:lang w:val="uk-UA"/>
        </w:rPr>
      </w:pPr>
      <w:r w:rsidRPr="00F936FC">
        <w:rPr>
          <w:color w:val="auto"/>
          <w:sz w:val="28"/>
          <w:szCs w:val="28"/>
          <w:lang w:val="uk-UA"/>
        </w:rPr>
        <w:t>Керуючись пунктом 22 статті 26 Закону України «Про місцеве самоврядування в Україні”, Законами України "Про об'єднання співвласників багатоквартирного будинку», «Про особливості здійснення права власності у багатоквартирному будинку», з метою створення сприятливих умов для активного розвитку об’єднань співвласників багатоквартирних будинкі</w:t>
      </w:r>
      <w:r>
        <w:rPr>
          <w:color w:val="auto"/>
          <w:sz w:val="28"/>
          <w:szCs w:val="28"/>
          <w:lang w:val="uk-UA"/>
        </w:rPr>
        <w:t>в та їх асоціацій у селищі Чаплинка</w:t>
      </w:r>
      <w:r w:rsidRPr="00F936FC">
        <w:rPr>
          <w:color w:val="auto"/>
          <w:sz w:val="28"/>
          <w:szCs w:val="28"/>
          <w:lang w:val="uk-UA"/>
        </w:rPr>
        <w:t>, покращення якості обслуговування житлового фонду та умов про</w:t>
      </w:r>
      <w:r>
        <w:rPr>
          <w:color w:val="auto"/>
          <w:sz w:val="28"/>
          <w:szCs w:val="28"/>
          <w:lang w:val="uk-UA"/>
        </w:rPr>
        <w:t xml:space="preserve">живання населення, </w:t>
      </w:r>
      <w:r w:rsidRPr="00B04D59">
        <w:rPr>
          <w:sz w:val="28"/>
          <w:szCs w:val="28"/>
          <w:bdr w:val="none" w:sz="0" w:space="0" w:color="auto" w:frame="1"/>
          <w:lang w:val="uk-UA"/>
        </w:rPr>
        <w:t xml:space="preserve"> сесія селищної ради</w:t>
      </w:r>
    </w:p>
    <w:p w:rsidR="003A0568" w:rsidRPr="00B04D59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3A0568" w:rsidRPr="00A3034C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3034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ru-RU"/>
        </w:rPr>
        <w:t>ВИРІШИЛА:</w:t>
      </w:r>
    </w:p>
    <w:p w:rsidR="003A0568" w:rsidRPr="00A3034C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A0568" w:rsidRPr="00BF680C" w:rsidRDefault="003A0568" w:rsidP="003A05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Затвердити Програму підтримки об'єднань співвласників багатоквартирних будинків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:rsidR="003A0568" w:rsidRPr="00BF680C" w:rsidRDefault="003A0568" w:rsidP="003A056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2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 Контроль за виконанням цього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постійн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ї з питань </w:t>
      </w:r>
      <w:r w:rsidRPr="00120B49">
        <w:rPr>
          <w:rFonts w:ascii="Times New Roman" w:hAnsi="Times New Roman" w:cs="Times New Roman"/>
          <w:sz w:val="28"/>
          <w:szCs w:val="28"/>
        </w:rPr>
        <w:t>планування, фінансів, бюджету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3A0568" w:rsidRPr="00BF680C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3A0568" w:rsidRPr="00BF680C" w:rsidRDefault="003A0568" w:rsidP="003A056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</w:t>
      </w:r>
    </w:p>
    <w:p w:rsidR="003A0568" w:rsidRDefault="003A0568" w:rsidP="003A0568">
      <w:pPr>
        <w:shd w:val="clear" w:color="auto" w:fill="FFFFFF"/>
        <w:tabs>
          <w:tab w:val="left" w:pos="3915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3A0568" w:rsidRDefault="003A0568" w:rsidP="003A0568">
      <w:pPr>
        <w:shd w:val="clear" w:color="auto" w:fill="FFFFFF"/>
        <w:tabs>
          <w:tab w:val="left" w:pos="3915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A0568" w:rsidRDefault="003A0568" w:rsidP="003A0568">
      <w:pPr>
        <w:shd w:val="clear" w:color="auto" w:fill="FFFFFF"/>
        <w:tabs>
          <w:tab w:val="left" w:pos="3915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A0568" w:rsidRPr="00C2664E" w:rsidRDefault="003A0568" w:rsidP="003A0568">
      <w:pPr>
        <w:shd w:val="clear" w:color="auto" w:fill="FFFFFF"/>
        <w:tabs>
          <w:tab w:val="left" w:pos="3915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A0568" w:rsidRDefault="003A0568" w:rsidP="003A056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Селищний голова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>О.Г.Фаустов</w:t>
      </w:r>
    </w:p>
    <w:p w:rsidR="003A0568" w:rsidRPr="00506F04" w:rsidRDefault="003A0568" w:rsidP="003A056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A0568" w:rsidRDefault="003A0568" w:rsidP="003A0568">
      <w:pPr>
        <w:shd w:val="clear" w:color="auto" w:fill="FFFFFF"/>
        <w:tabs>
          <w:tab w:val="center" w:pos="4819"/>
        </w:tabs>
        <w:spacing w:after="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A0568" w:rsidRPr="00506F04" w:rsidRDefault="003A0568" w:rsidP="003A0568">
      <w:pPr>
        <w:shd w:val="clear" w:color="auto" w:fill="FFFFFF"/>
        <w:tabs>
          <w:tab w:val="center" w:pos="4819"/>
        </w:tabs>
        <w:spacing w:after="0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F6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506F04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Затверджено</w:t>
      </w:r>
      <w:r w:rsidRPr="00A22A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568" w:rsidRDefault="003A0568" w:rsidP="003A0568">
      <w:pPr>
        <w:autoSpaceDE w:val="0"/>
        <w:spacing w:after="0"/>
        <w:jc w:val="right"/>
        <w:rPr>
          <w:rFonts w:ascii="Times New Roman" w:hAnsi="Times New Roman" w:cs="Times New Roman"/>
        </w:rPr>
      </w:pPr>
      <w:r w:rsidRPr="00506F04"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р</w:t>
      </w:r>
      <w:r w:rsidRPr="00506F04">
        <w:rPr>
          <w:rFonts w:ascii="Times New Roman" w:hAnsi="Times New Roman" w:cs="Times New Roman"/>
        </w:rPr>
        <w:t>ішення</w:t>
      </w:r>
      <w:r>
        <w:rPr>
          <w:rFonts w:ascii="Times New Roman" w:hAnsi="Times New Roman" w:cs="Times New Roman"/>
        </w:rPr>
        <w:t>м УІІІ сесії селищної</w:t>
      </w:r>
      <w:r w:rsidRPr="00506F04">
        <w:rPr>
          <w:rFonts w:ascii="Times New Roman" w:hAnsi="Times New Roman" w:cs="Times New Roman"/>
        </w:rPr>
        <w:t>ради</w:t>
      </w:r>
    </w:p>
    <w:p w:rsidR="003A0568" w:rsidRPr="00506F04" w:rsidRDefault="003A0568" w:rsidP="003A0568">
      <w:pPr>
        <w:autoSpaceDE w:val="0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УІІІ скликання від 10.07.2017 №127</w:t>
      </w:r>
    </w:p>
    <w:p w:rsidR="003A0568" w:rsidRPr="00506F04" w:rsidRDefault="003A0568" w:rsidP="003A0568">
      <w:pPr>
        <w:pStyle w:val="aa"/>
        <w:jc w:val="center"/>
        <w:rPr>
          <w:b/>
          <w:sz w:val="22"/>
          <w:szCs w:val="22"/>
        </w:rPr>
      </w:pPr>
    </w:p>
    <w:p w:rsidR="003A0568" w:rsidRDefault="003A0568" w:rsidP="003A0568">
      <w:pPr>
        <w:pStyle w:val="aa"/>
        <w:jc w:val="center"/>
        <w:rPr>
          <w:b/>
        </w:rPr>
      </w:pPr>
      <w:r>
        <w:rPr>
          <w:b/>
        </w:rPr>
        <w:t xml:space="preserve"> ПРОГРАМА</w:t>
      </w:r>
    </w:p>
    <w:p w:rsidR="003A0568" w:rsidRPr="00C65B99" w:rsidRDefault="003A0568" w:rsidP="003A0568">
      <w:pPr>
        <w:pStyle w:val="aa"/>
        <w:jc w:val="center"/>
        <w:rPr>
          <w:b/>
        </w:rPr>
      </w:pPr>
      <w:r w:rsidRPr="00C65B99">
        <w:rPr>
          <w:b/>
        </w:rPr>
        <w:t>підтримки об’єднань співвласників багатоквартирних будинків</w:t>
      </w:r>
    </w:p>
    <w:p w:rsidR="003A0568" w:rsidRPr="00C65B99" w:rsidRDefault="003A0568" w:rsidP="003A0568">
      <w:pPr>
        <w:pStyle w:val="aa"/>
        <w:jc w:val="center"/>
        <w:rPr>
          <w:b/>
        </w:rPr>
      </w:pPr>
      <w:r w:rsidRPr="00C65B99">
        <w:rPr>
          <w:b/>
        </w:rPr>
        <w:t>Вступ</w:t>
      </w:r>
    </w:p>
    <w:p w:rsidR="003A0568" w:rsidRDefault="003A0568" w:rsidP="003A0568">
      <w:pPr>
        <w:pStyle w:val="aa"/>
        <w:spacing w:line="276" w:lineRule="auto"/>
        <w:ind w:firstLine="708"/>
      </w:pPr>
      <w:r>
        <w:t xml:space="preserve">Програма підтримки об’єднань співвласників багатоквартирних будинків (надалі Програма) розроблена на підставі Цивільного кодексу України, законів України „Про об'єднання співвласників багатоквартирного будинку", "Про особливості здійснення права власності у багатоквартирному будинку", „Про житлово-комунальні послуги”, „Про приватизацію державного житлового фонду”; Постанов Кабінету Міністрів „Про реалізацію Закону України „Про об'єднання співвласників багатоквартирного будинку”, „Про затвердження Правил користування приміщеннями житлових будинків”. </w:t>
      </w:r>
    </w:p>
    <w:p w:rsidR="003A0568" w:rsidRDefault="003A0568" w:rsidP="003A0568">
      <w:pPr>
        <w:pStyle w:val="aa"/>
        <w:tabs>
          <w:tab w:val="left" w:pos="567"/>
        </w:tabs>
        <w:spacing w:line="276" w:lineRule="auto"/>
      </w:pPr>
      <w:r>
        <w:tab/>
        <w:t xml:space="preserve"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та законами України.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 xml:space="preserve">Однією з найбільш гострих соціально-економічних проблем України на сьогоднішній день є житлова. Застарілими є організаційні принципи роботи та управління житлово-експлуатаційних організацій, відсутність системних перетворень у житлово-комунальній сфері, постійне недофінансування запланованих заходів щодо належного утримання та ремонту житлового фонду, його реконструкції і модернізації призвело до незадовільного стану житла в місті. Необхідність прийняття Програми обґрунтовується нагальною потребою забезпечення ефективного управління спільним майном багатоквартирних будинків.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 xml:space="preserve">Удосконалення управління та збереження житлового фонду, його модернізація та заходи з енергозбереження - одна з найважливіших проблем, що постають перед селищною владою. Всі, хто працює над реформуванням житлово-комунального господарства, розуміють, що така довгоочікувана реформа можлива лише за умови самої активної участі у цій справі ОСББ як нової організаційної форми утримання житла, що значно краще відповідає реаліям сьогодення. </w:t>
      </w:r>
    </w:p>
    <w:p w:rsidR="003A0568" w:rsidRDefault="003A0568" w:rsidP="003A0568">
      <w:pPr>
        <w:pStyle w:val="aa"/>
        <w:tabs>
          <w:tab w:val="left" w:pos="567"/>
          <w:tab w:val="left" w:pos="851"/>
        </w:tabs>
        <w:spacing w:line="276" w:lineRule="auto"/>
      </w:pPr>
      <w:r>
        <w:tab/>
        <w:t xml:space="preserve">Потребує вирішення питання підготовки житлових будинків до передачі їх на самообслуговування ОСББ, виділення допомоги ОСББ на капітальний ремонт конструктивних елементів та інженерних мереж будинків, де таке </w:t>
      </w:r>
      <w:r>
        <w:lastRenderedPageBreak/>
        <w:t xml:space="preserve">обслуговування вже ведеться ними самостійно. Допомога із селищного бюджету необхідна як в реалізації першочергових заходів капітального ремонту, так і у випадку участі ОСББ у впровадженні проектів за рахунок коштів державного бюджету, грантових коштів та інших форм фінансової підтримки на умовах спів фінансування. </w:t>
      </w:r>
    </w:p>
    <w:p w:rsidR="003A0568" w:rsidRPr="00E5323B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  <w:r w:rsidRPr="00E5323B">
        <w:rPr>
          <w:b/>
        </w:rPr>
        <w:t>Опис проблеми, на вирішення якої спрямована Програма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>Сьогодні житлове господарство селища переживає значні труднощі. Збільшується частина житлового фонду, який можна віднести до застарілої забудови. Матеріально-технічна база житлового господарства селища вкрай зношена, обладнання застаріле та енергоємне. Внаслідок цього спостерігається недостатня якість надання житлово-комунальних послуг. Відсутність реальної можливості у населення здійснювати контроль за розподілом і використанням коштів, які вони сплачують за житлово-комунальні послуги, та низька поінформованість щодо захисту своїх прав за неповне і неякісне забезпечення цими послугами сприяють зростанню соціальної напруги серед мешканців селища.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>Обмеженість коштів, що виділяються на капітальний ремонт житлового фонду з бюджетів всіх рівнів, незадовільний стан житлового фонду та недоліки у системі надання комунальних послуг свідчать, що проблеми у сфері житлово-комунального господарства необхідно вирішувати іншим шляхом, а саме – проведенням структурних реформ, які дадуть змогу створити нову економічну модель експлуатації та розвитку житлового господарства, забезпечити його надійне і високоякісне обслуговування з врахуванням інтересів мешканців. Таким ефективним власником будинку, який може управляти і приймати рішення щодо ремонту будинку, його модернізації з огляду на вимоги енергоефективності, розпоряджатися прибудинковою територією, замовляти необхідні для утримання комунальні послуги, стає об’єднання співвласників багатоквартирного будинку (надалі – ОСББ, об’єднання).  Створення ОСББ - ефективного власника будинку - це шлях, яким пішли у свій час більшість східноєвропейських країн.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>Фактори, що стримують розвиток та діяльність ОСББ:</w:t>
      </w:r>
    </w:p>
    <w:p w:rsidR="003A0568" w:rsidRDefault="003A0568" w:rsidP="003A0568">
      <w:pPr>
        <w:pStyle w:val="aa"/>
        <w:numPr>
          <w:ilvl w:val="0"/>
          <w:numId w:val="11"/>
        </w:numPr>
        <w:tabs>
          <w:tab w:val="left" w:pos="567"/>
          <w:tab w:val="left" w:pos="709"/>
        </w:tabs>
        <w:suppressAutoHyphens/>
        <w:spacing w:line="276" w:lineRule="auto"/>
      </w:pPr>
      <w:r>
        <w:t xml:space="preserve">зношеність та застарілість конструктивних елементів та технічного обладнання багатоквартирних житлових будинків; </w:t>
      </w:r>
    </w:p>
    <w:p w:rsidR="003A0568" w:rsidRDefault="003A0568" w:rsidP="003A0568">
      <w:pPr>
        <w:pStyle w:val="aa"/>
        <w:numPr>
          <w:ilvl w:val="0"/>
          <w:numId w:val="11"/>
        </w:numPr>
        <w:tabs>
          <w:tab w:val="left" w:pos="567"/>
          <w:tab w:val="left" w:pos="709"/>
        </w:tabs>
        <w:suppressAutoHyphens/>
        <w:spacing w:line="276" w:lineRule="auto"/>
      </w:pPr>
      <w:r>
        <w:t>відсутність комплекту технічної документації багатоквартирного житлового будинку;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uppressAutoHyphens/>
        <w:spacing w:line="276" w:lineRule="auto"/>
        <w:ind w:left="75"/>
      </w:pPr>
      <w:r>
        <w:t xml:space="preserve"> - відсутність необхідних знань щодо особливостей функціонування ОСББ; </w:t>
      </w:r>
    </w:p>
    <w:p w:rsidR="003A0568" w:rsidRPr="00DF4C9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rPr>
          <w:u w:val="single"/>
        </w:rPr>
      </w:pPr>
      <w:r>
        <w:tab/>
        <w:t xml:space="preserve">Необхідність прийняття зумовлена першочергово набранням чинності 1 липня 2015 року Закону України "Про особливості здійснення права власності у багатоквартирному будинку".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lastRenderedPageBreak/>
        <w:tab/>
        <w:t>Програма підтримки об'єднань співвласників багатоквартирних будинків полягає у визначенні шляхів максимального сприяння селищній владі створенню та функціонуванню об'єднань співвласників багатоквартирного будинку.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>Основними перевагами, які надає ОСББ власникам житлових та нежитлових приміщень багатоквартирного житлового будинку, є: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право вибору форми управління багатоквартирним житловим будинком;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право самостійно встановлювати кошторис експлуатації та утримання багатоквартирного житлового будинку,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право визначати тривалість, черговість і обсяги робіт з ремонту багатоквартирного житлового будинку;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набуття права власності або права користування прибудинковою територією;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отримання повного обсягу житлово-комунальних послуг на якісному рівні;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забезпечення контролю за використанням допоміжних приміщень будинку, територій загального користування;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забезпечення контролю за збором, розподілом та витрачанням грошових коштів, що спрямовуються на утримання багатоквартирного будинку та на оплату вартості житлово-комунальних послуг.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Найбільш дієвими способами у заохоченні мешканців до створення ОСББ є: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надання їм фінансової допомоги у виконанні робіт з капітального ремонту будинку, що реалізується виділенням коштів з державного і місцевого бюджетів;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проведення фахового огляду і визначення технічного стану будинку на час його передачі на баланс ОСББ;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організація навчань керівників ОСББ, забезпечення постійних консультацій з питань створення і діяльності об’єднань;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сприяння у підготовці проектів на отримання можливих міжнародних грантів, кредитів, а також залучення ОСББ до участі у всеукраїнських і міжнародних програмах підтримки громадської активності.</w:t>
      </w:r>
    </w:p>
    <w:p w:rsidR="003A0568" w:rsidRPr="007E793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 xml:space="preserve">Крім матеріального стимулювання проблема створення ОСББ потребує координації зусиль виконавчих органів селищної ради з громадськістю та громадськими організаціями селища. Взаємодія об'єднань мешканців з владою є найважливішою передумовою для соціального партнерства на місцевому рівні, залучення мешканців до розв’язання проблем селища, зокрема, найактуальніших сьогодні проблем житлово-комунального господарства. </w:t>
      </w:r>
    </w:p>
    <w:p w:rsidR="003A0568" w:rsidRPr="000E43E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  <w:r w:rsidRPr="000E43E8">
        <w:rPr>
          <w:b/>
        </w:rPr>
        <w:t>Мет</w:t>
      </w:r>
      <w:r>
        <w:rPr>
          <w:b/>
        </w:rPr>
        <w:t>а</w:t>
      </w:r>
      <w:r w:rsidRPr="000E43E8">
        <w:rPr>
          <w:b/>
        </w:rPr>
        <w:t xml:space="preserve"> програми</w:t>
      </w:r>
    </w:p>
    <w:p w:rsidR="003A0568" w:rsidRDefault="003A0568" w:rsidP="003A0568">
      <w:pPr>
        <w:pStyle w:val="aa"/>
        <w:tabs>
          <w:tab w:val="left" w:pos="567"/>
          <w:tab w:val="left" w:pos="709"/>
          <w:tab w:val="left" w:pos="851"/>
        </w:tabs>
        <w:spacing w:line="276" w:lineRule="auto"/>
      </w:pPr>
      <w:r>
        <w:lastRenderedPageBreak/>
        <w:tab/>
        <w:t>Суттєве поліпшення якості житла та житлово-комунальних послуг для членів територіальної громади селища, забезпечення надійності та безпечної експлуатації житлового фонду селища, вирішення проблем з реалізації права власності у багатоквартирному будинку.</w:t>
      </w:r>
    </w:p>
    <w:p w:rsidR="003A0568" w:rsidRDefault="003A0568" w:rsidP="003A0568">
      <w:pPr>
        <w:pStyle w:val="aa"/>
        <w:tabs>
          <w:tab w:val="left" w:pos="567"/>
          <w:tab w:val="left" w:pos="709"/>
          <w:tab w:val="left" w:pos="851"/>
        </w:tabs>
        <w:spacing w:line="276" w:lineRule="auto"/>
      </w:pPr>
      <w:r>
        <w:t>Завдання Програми: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створення моделі ефективного управління багатоквартирними будинками в селищі;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створення ефективної системи надання житлово-комунальних послуг та сплати за них;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залучення ОСББ до участі в проведенні капітальних ремонтів будинків і подальшого їх утримання;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створення асоціацій ОСББ для захисту інтересів об'єднань, а також власного ефективного господарювання.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- сприяння діяльності ОСББ, підтримка на всіх етапах їх функціонування;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проведення необхідної інформаційно-роз’яснювальної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ОСББ, проведення відповідних навчань, тренінгів та семінарів;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надання власникам квартир в багатоквартирних житлових будинках практичної допомоги в процесі створення та діяльності ОСББ: надання типових зразків установчих та реєстраційних документів, проведення обстежень технічного стану під час передачі будинків на баланс ОСББ; участь у зборах з визначення пріоритетних видів робіт капітального ремонту;</w:t>
      </w:r>
    </w:p>
    <w:p w:rsidR="003A0568" w:rsidRPr="00604923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фінансування робіт з капітального ремонту будинків, у яких створено ОСББ (найбільш дієвим способом заохочення мешканців до створення ОСББ є реальна допомога ОСББ через спів фінансування з селищного бюджету робіт з капітального ремонту основних конструктивних елементів будинку).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  <w:r w:rsidRPr="00F77E2A">
        <w:rPr>
          <w:b/>
        </w:rPr>
        <w:t>Основні комп</w:t>
      </w:r>
      <w:r>
        <w:rPr>
          <w:b/>
        </w:rPr>
        <w:t>лексні заходи реалізації селищної</w:t>
      </w:r>
      <w:r w:rsidRPr="00F77E2A">
        <w:rPr>
          <w:b/>
        </w:rPr>
        <w:t xml:space="preserve"> програми фінансової підтримки об'єднань співвласників багатоквартирних будинків</w:t>
      </w:r>
    </w:p>
    <w:p w:rsidR="003A0568" w:rsidRPr="007E793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Напрямки реалізації Програми: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>- інформаційно-консультативний та адміністративно-організаційний;</w:t>
      </w:r>
    </w:p>
    <w:p w:rsidR="003A0568" w:rsidRPr="007E793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 xml:space="preserve"> - фінансово-господарський.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  <w:r w:rsidRPr="0054557B">
        <w:rPr>
          <w:b/>
        </w:rPr>
        <w:t>Заходи, передбачені для реалізації інформаційно-консультативної та адміністративно-організаційної частини Програми:</w:t>
      </w:r>
    </w:p>
    <w:p w:rsidR="003A0568" w:rsidRPr="0054557B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184"/>
        <w:gridCol w:w="1985"/>
        <w:gridCol w:w="1524"/>
      </w:tblGrid>
      <w:tr w:rsidR="003A0568" w:rsidRPr="00DF4C98" w:rsidTr="00AC28FA">
        <w:trPr>
          <w:trHeight w:val="886"/>
        </w:trPr>
        <w:tc>
          <w:tcPr>
            <w:tcW w:w="594" w:type="dxa"/>
            <w:vAlign w:val="center"/>
          </w:tcPr>
          <w:p w:rsidR="003A0568" w:rsidRPr="00DF4C98" w:rsidRDefault="003A0568" w:rsidP="00AC2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84" w:type="dxa"/>
            <w:vAlign w:val="center"/>
          </w:tcPr>
          <w:p w:rsidR="003A0568" w:rsidRPr="00DF4C98" w:rsidRDefault="003A0568" w:rsidP="00AC2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98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985" w:type="dxa"/>
            <w:vAlign w:val="center"/>
          </w:tcPr>
          <w:p w:rsidR="003A0568" w:rsidRPr="00DF4C98" w:rsidRDefault="003A0568" w:rsidP="00AC2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98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1524" w:type="dxa"/>
            <w:vAlign w:val="center"/>
          </w:tcPr>
          <w:p w:rsidR="003A0568" w:rsidRPr="00DF4C98" w:rsidRDefault="003A0568" w:rsidP="00AC2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C98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</w:p>
        </w:tc>
      </w:tr>
      <w:tr w:rsidR="003A0568" w:rsidRPr="00907FD7" w:rsidTr="00AC28FA">
        <w:trPr>
          <w:trHeight w:val="1952"/>
        </w:trPr>
        <w:tc>
          <w:tcPr>
            <w:tcW w:w="594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184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left"/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t>Проведення інформаційно-роз’яснюва</w:t>
            </w:r>
            <w:r>
              <w:rPr>
                <w:sz w:val="24"/>
                <w:szCs w:val="24"/>
              </w:rPr>
              <w:t xml:space="preserve">льної роботи серед громадян селища щодо </w:t>
            </w:r>
            <w:r w:rsidRPr="00907FD7">
              <w:rPr>
                <w:sz w:val="24"/>
                <w:szCs w:val="24"/>
              </w:rPr>
              <w:t>позитивного досвіду ОСББ:</w:t>
            </w:r>
          </w:p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left"/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t xml:space="preserve"> - ініціювання проведення загальних зборів мешканців будинку;</w:t>
            </w:r>
          </w:p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left"/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t>- розміщення інформаційних матеріалів в засобах масової інформації</w:t>
            </w:r>
          </w:p>
        </w:tc>
        <w:tc>
          <w:tcPr>
            <w:tcW w:w="1985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Селищна рада</w:t>
            </w:r>
          </w:p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</w:tr>
      <w:tr w:rsidR="003A0568" w:rsidTr="00AC28FA">
        <w:trPr>
          <w:trHeight w:val="4053"/>
        </w:trPr>
        <w:tc>
          <w:tcPr>
            <w:tcW w:w="594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7FD7">
              <w:rPr>
                <w:sz w:val="22"/>
                <w:szCs w:val="22"/>
              </w:rPr>
              <w:t>.</w:t>
            </w:r>
          </w:p>
        </w:tc>
        <w:tc>
          <w:tcPr>
            <w:tcW w:w="5184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t>Здійснення партнерських відносин між органами місцевого самоврядування і ОСББ:</w:t>
            </w:r>
          </w:p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t>- забезпечення участі п</w:t>
            </w:r>
            <w:r>
              <w:rPr>
                <w:sz w:val="24"/>
                <w:szCs w:val="24"/>
              </w:rPr>
              <w:t>овноважного представника селищної</w:t>
            </w:r>
            <w:r w:rsidRPr="00907FD7">
              <w:rPr>
                <w:sz w:val="24"/>
                <w:szCs w:val="24"/>
              </w:rPr>
              <w:t xml:space="preserve"> ради в роботі</w:t>
            </w:r>
            <w:r>
              <w:rPr>
                <w:sz w:val="24"/>
                <w:szCs w:val="24"/>
              </w:rPr>
              <w:t xml:space="preserve"> </w:t>
            </w:r>
            <w:r w:rsidRPr="00907FD7">
              <w:rPr>
                <w:sz w:val="24"/>
                <w:szCs w:val="24"/>
              </w:rPr>
              <w:t xml:space="preserve">установчих зборів; </w:t>
            </w:r>
          </w:p>
          <w:p w:rsidR="003A0568" w:rsidRPr="0096771D" w:rsidRDefault="003A0568" w:rsidP="00AC28FA">
            <w:pPr>
              <w:pStyle w:val="aa"/>
              <w:tabs>
                <w:tab w:val="left" w:pos="567"/>
                <w:tab w:val="left" w:pos="709"/>
              </w:tabs>
              <w:rPr>
                <w:sz w:val="24"/>
                <w:szCs w:val="24"/>
              </w:rPr>
            </w:pPr>
            <w:r w:rsidRPr="00907FD7">
              <w:rPr>
                <w:sz w:val="24"/>
                <w:szCs w:val="24"/>
              </w:rPr>
              <w:t>- разом зі створенням ОСББ надання допомоги при визначенні форми утримання та управління будинком</w:t>
            </w:r>
          </w:p>
          <w:p w:rsidR="003A0568" w:rsidRPr="0096771D" w:rsidRDefault="003A0568" w:rsidP="00AC28FA">
            <w:pPr>
              <w:pStyle w:val="aa"/>
              <w:tabs>
                <w:tab w:val="left" w:pos="567"/>
                <w:tab w:val="left" w:pos="709"/>
              </w:tabs>
              <w:rPr>
                <w:sz w:val="24"/>
                <w:szCs w:val="24"/>
              </w:rPr>
            </w:pPr>
            <w:r w:rsidRPr="0096771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селищна</w:t>
            </w:r>
            <w:r w:rsidRPr="0096771D">
              <w:rPr>
                <w:sz w:val="24"/>
                <w:szCs w:val="24"/>
              </w:rPr>
              <w:t xml:space="preserve"> рада надає консультації та методичну допомогу ОСББ щодо приватизації земельної ділянки прибудинкової території, необхідної для обслуговування житлового будинку</w:t>
            </w:r>
            <w:r w:rsidRPr="0096771D">
              <w:t xml:space="preserve"> </w:t>
            </w:r>
          </w:p>
        </w:tc>
        <w:tc>
          <w:tcPr>
            <w:tcW w:w="1985" w:type="dxa"/>
            <w:vAlign w:val="center"/>
          </w:tcPr>
          <w:p w:rsidR="003A0568" w:rsidRPr="00907FD7" w:rsidRDefault="003A0568" w:rsidP="00AC28FA">
            <w:pPr>
              <w:pStyle w:val="aa"/>
              <w:tabs>
                <w:tab w:val="left" w:pos="567"/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  <w:tc>
          <w:tcPr>
            <w:tcW w:w="1524" w:type="dxa"/>
            <w:vAlign w:val="center"/>
          </w:tcPr>
          <w:p w:rsidR="003A0568" w:rsidRPr="00907FD7" w:rsidRDefault="003A0568" w:rsidP="00AC28FA">
            <w:pPr>
              <w:jc w:val="both"/>
              <w:rPr>
                <w:sz w:val="24"/>
                <w:szCs w:val="24"/>
              </w:rPr>
            </w:pPr>
          </w:p>
        </w:tc>
      </w:tr>
    </w:tbl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  <w:r w:rsidRPr="0069030D">
        <w:rPr>
          <w:b/>
        </w:rPr>
        <w:t>Фінансово-господарський напрямок</w:t>
      </w:r>
      <w:r>
        <w:t xml:space="preserve"> </w:t>
      </w:r>
      <w:r w:rsidRPr="0069030D">
        <w:rPr>
          <w:b/>
        </w:rPr>
        <w:t xml:space="preserve">Програми 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  <w:r>
        <w:tab/>
        <w:t>Заходи, передбачені у цьому напрямку, покликані забезпечити ефективне управління у сфері виробництва та надання житлово-комунальних послуг, створення конкурентного середовища, сприяння технічному переоснащенню житлово-комунального господарства.</w:t>
      </w: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</w:pPr>
    </w:p>
    <w:p w:rsidR="003A0568" w:rsidRDefault="003A0568" w:rsidP="003A0568">
      <w:pPr>
        <w:pStyle w:val="aa"/>
        <w:tabs>
          <w:tab w:val="left" w:pos="567"/>
          <w:tab w:val="left" w:pos="709"/>
        </w:tabs>
        <w:spacing w:line="276" w:lineRule="auto"/>
        <w:jc w:val="center"/>
        <w:rPr>
          <w:b/>
        </w:rPr>
      </w:pPr>
      <w:r w:rsidRPr="00FC0022">
        <w:rPr>
          <w:b/>
        </w:rPr>
        <w:t>Джерела фінансування заходів</w:t>
      </w:r>
    </w:p>
    <w:p w:rsidR="003A0568" w:rsidRPr="00A22A97" w:rsidRDefault="003A0568" w:rsidP="003A0568">
      <w:pPr>
        <w:pStyle w:val="aa"/>
        <w:tabs>
          <w:tab w:val="left" w:pos="709"/>
        </w:tabs>
        <w:spacing w:line="276" w:lineRule="auto"/>
      </w:pPr>
      <w:r>
        <w:tab/>
        <w:t>Фінансування Програми за напрямками викладеними вище, забезпечуватиметься за кошти державного, селищного бюджетів, іноземних інвестицій, грантів, благодійних внесків та кошти фізичних і юридичних осіб.</w:t>
      </w:r>
      <w:r w:rsidRPr="00A22A97">
        <w:t xml:space="preserve"> 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A97">
        <w:rPr>
          <w:rFonts w:ascii="Times New Roman" w:hAnsi="Times New Roman" w:cs="Times New Roman"/>
          <w:sz w:val="28"/>
          <w:szCs w:val="28"/>
        </w:rPr>
        <w:t>Кошти селищного бюджету, призначені для сприяння діяльності ОСББ, використовуються  на проведення капітального ремонту будинку на умовах спів фінансування.</w:t>
      </w:r>
    </w:p>
    <w:p w:rsidR="003A0568" w:rsidRPr="00A22A97" w:rsidRDefault="003A0568" w:rsidP="003A0568">
      <w:pPr>
        <w:pStyle w:val="aa"/>
        <w:tabs>
          <w:tab w:val="left" w:pos="709"/>
        </w:tabs>
        <w:spacing w:line="276" w:lineRule="auto"/>
        <w:rPr>
          <w:b/>
        </w:rPr>
      </w:pPr>
      <w:r w:rsidRPr="00A22A97">
        <w:tab/>
      </w:r>
      <w:r w:rsidRPr="00A22A97">
        <w:rPr>
          <w:szCs w:val="28"/>
        </w:rPr>
        <w:t>Прогнозний обсяг фінансування Програми на 2017 рік складає 1</w:t>
      </w:r>
      <w:r>
        <w:rPr>
          <w:szCs w:val="28"/>
        </w:rPr>
        <w:t>1</w:t>
      </w:r>
      <w:r w:rsidRPr="00A22A97">
        <w:rPr>
          <w:szCs w:val="28"/>
        </w:rPr>
        <w:t>0000</w:t>
      </w:r>
      <w:r>
        <w:rPr>
          <w:szCs w:val="28"/>
        </w:rPr>
        <w:t>,00</w:t>
      </w:r>
      <w:r w:rsidRPr="00A22A97">
        <w:rPr>
          <w:szCs w:val="28"/>
        </w:rPr>
        <w:t>грн</w:t>
      </w:r>
      <w:r>
        <w:rPr>
          <w:szCs w:val="28"/>
        </w:rPr>
        <w:t>.</w:t>
      </w:r>
    </w:p>
    <w:p w:rsidR="003A0568" w:rsidRPr="00A22A97" w:rsidRDefault="003A0568" w:rsidP="003A0568">
      <w:pPr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2A97">
        <w:rPr>
          <w:rFonts w:ascii="Times New Roman" w:hAnsi="Times New Roman" w:cs="Times New Roman"/>
          <w:sz w:val="28"/>
          <w:szCs w:val="28"/>
        </w:rPr>
        <w:t>Обсяг бюджетних коштів визначається, виходячи з фінансової можливості селищного бюджету.</w:t>
      </w:r>
    </w:p>
    <w:p w:rsidR="003A0568" w:rsidRPr="00F30E49" w:rsidRDefault="003A0568" w:rsidP="003A0568">
      <w:pPr>
        <w:pStyle w:val="aa"/>
        <w:tabs>
          <w:tab w:val="left" w:pos="709"/>
        </w:tabs>
        <w:spacing w:line="276" w:lineRule="auto"/>
      </w:pPr>
      <w:r>
        <w:rPr>
          <w:szCs w:val="28"/>
        </w:rPr>
        <w:tab/>
      </w:r>
      <w:r w:rsidRPr="00A22A97">
        <w:rPr>
          <w:szCs w:val="28"/>
        </w:rPr>
        <w:t>Фінансування робіт з ремонтів будинків проводиться за умови дольової</w:t>
      </w:r>
      <w:r>
        <w:rPr>
          <w:szCs w:val="28"/>
        </w:rPr>
        <w:t xml:space="preserve"> участі ОСББ в розмірі до 30</w:t>
      </w:r>
      <w:r w:rsidRPr="00E80F48">
        <w:rPr>
          <w:szCs w:val="28"/>
        </w:rPr>
        <w:t>%</w:t>
      </w:r>
      <w:r w:rsidRPr="009748B8">
        <w:rPr>
          <w:szCs w:val="28"/>
        </w:rPr>
        <w:t xml:space="preserve"> </w:t>
      </w:r>
      <w:r>
        <w:rPr>
          <w:szCs w:val="28"/>
        </w:rPr>
        <w:t>, але не менше 10% ві</w:t>
      </w:r>
      <w:r w:rsidRPr="009748B8">
        <w:rPr>
          <w:szCs w:val="28"/>
        </w:rPr>
        <w:t>д суми загальної вартості</w:t>
      </w:r>
      <w:r>
        <w:rPr>
          <w:szCs w:val="28"/>
        </w:rPr>
        <w:t xml:space="preserve"> капітального </w:t>
      </w:r>
      <w:r w:rsidRPr="009748B8">
        <w:rPr>
          <w:szCs w:val="28"/>
        </w:rPr>
        <w:t>ремонту згідно з кошторисом.</w:t>
      </w:r>
      <w:r>
        <w:rPr>
          <w:szCs w:val="28"/>
        </w:rPr>
        <w:t xml:space="preserve">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ab/>
        <w:t xml:space="preserve">Принцип спів фінансування або дольової участі фінансування проектів ОСББ, відбуватиметься на засадах відбору соціально-технічних проектів.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lastRenderedPageBreak/>
        <w:tab/>
        <w:t>Громадський контроль за ходом реалізації Програми здійснюється представниками громадських організацій за їх бажанням, а також представниками правлінь ОСББ.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</w:p>
    <w:p w:rsidR="003A0568" w:rsidRPr="00A22A97" w:rsidRDefault="003A0568" w:rsidP="003A0568">
      <w:pPr>
        <w:pStyle w:val="aa"/>
        <w:tabs>
          <w:tab w:val="left" w:pos="709"/>
        </w:tabs>
        <w:spacing w:line="276" w:lineRule="auto"/>
      </w:pPr>
    </w:p>
    <w:p w:rsidR="003A0568" w:rsidRPr="00A22A97" w:rsidRDefault="003A0568" w:rsidP="003A056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A22A97">
        <w:rPr>
          <w:rFonts w:ascii="Times New Roman" w:hAnsi="Times New Roman" w:cs="Times New Roman"/>
          <w:sz w:val="28"/>
          <w:szCs w:val="24"/>
        </w:rPr>
        <w:t>Прогноз</w:t>
      </w:r>
      <w:r>
        <w:rPr>
          <w:rFonts w:ascii="Times New Roman" w:hAnsi="Times New Roman" w:cs="Times New Roman"/>
          <w:sz w:val="28"/>
          <w:szCs w:val="24"/>
        </w:rPr>
        <w:t>ова</w:t>
      </w:r>
      <w:r w:rsidRPr="00A22A97">
        <w:rPr>
          <w:rFonts w:ascii="Times New Roman" w:hAnsi="Times New Roman" w:cs="Times New Roman"/>
          <w:sz w:val="28"/>
          <w:szCs w:val="24"/>
        </w:rPr>
        <w:t>ний обсяг</w:t>
      </w:r>
    </w:p>
    <w:p w:rsidR="003A0568" w:rsidRPr="00A22A97" w:rsidRDefault="003A0568" w:rsidP="003A056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A22A97">
        <w:rPr>
          <w:rFonts w:ascii="Times New Roman" w:hAnsi="Times New Roman" w:cs="Times New Roman"/>
          <w:sz w:val="28"/>
          <w:szCs w:val="24"/>
        </w:rPr>
        <w:t>фінансового забезпечення виконання заходів Програми</w:t>
      </w:r>
    </w:p>
    <w:p w:rsidR="003A0568" w:rsidRPr="00A22A97" w:rsidRDefault="003A0568" w:rsidP="003A056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A22A97">
        <w:rPr>
          <w:rFonts w:ascii="Times New Roman" w:hAnsi="Times New Roman" w:cs="Times New Roman"/>
          <w:sz w:val="28"/>
          <w:szCs w:val="24"/>
        </w:rPr>
        <w:t>за рахунок коштів селищного бюджету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134"/>
        <w:gridCol w:w="2268"/>
        <w:gridCol w:w="1843"/>
      </w:tblGrid>
      <w:tr w:rsidR="003A0568" w:rsidRPr="00A22A97" w:rsidTr="00AC28FA">
        <w:trPr>
          <w:trHeight w:val="460"/>
        </w:trPr>
        <w:tc>
          <w:tcPr>
            <w:tcW w:w="3544" w:type="dxa"/>
            <w:vMerge w:val="restart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3A0568" w:rsidRPr="00A22A97" w:rsidRDefault="003A0568" w:rsidP="00AC28F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Прогнозний обсяг фінансування (тис. грн.)</w:t>
            </w:r>
          </w:p>
        </w:tc>
        <w:tc>
          <w:tcPr>
            <w:tcW w:w="1843" w:type="dxa"/>
            <w:vMerge w:val="restart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</w:tr>
      <w:tr w:rsidR="003A0568" w:rsidRPr="00A22A97" w:rsidTr="00AC28FA">
        <w:trPr>
          <w:trHeight w:val="320"/>
        </w:trPr>
        <w:tc>
          <w:tcPr>
            <w:tcW w:w="3544" w:type="dxa"/>
            <w:vMerge/>
          </w:tcPr>
          <w:p w:rsidR="003A0568" w:rsidRPr="00A22A97" w:rsidRDefault="003A0568" w:rsidP="00AC28FA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3A0568" w:rsidRPr="00A22A97" w:rsidRDefault="003A0568" w:rsidP="00AC2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2268" w:type="dxa"/>
          </w:tcPr>
          <w:p w:rsidR="003A0568" w:rsidRPr="00A22A97" w:rsidRDefault="003A0568" w:rsidP="00AC28F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у т. ч. за роками</w:t>
            </w:r>
          </w:p>
        </w:tc>
        <w:tc>
          <w:tcPr>
            <w:tcW w:w="1843" w:type="dxa"/>
            <w:vMerge/>
          </w:tcPr>
          <w:p w:rsidR="003A0568" w:rsidRPr="00A22A97" w:rsidRDefault="003A0568" w:rsidP="00AC28F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568" w:rsidRPr="00A22A97" w:rsidTr="00AC28FA">
        <w:trPr>
          <w:trHeight w:val="300"/>
        </w:trPr>
        <w:tc>
          <w:tcPr>
            <w:tcW w:w="3544" w:type="dxa"/>
            <w:vMerge/>
          </w:tcPr>
          <w:p w:rsidR="003A0568" w:rsidRPr="00A22A97" w:rsidRDefault="003A0568" w:rsidP="00AC28FA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0568" w:rsidRPr="00A22A97" w:rsidRDefault="003A0568" w:rsidP="00AC28F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0568" w:rsidRPr="00A22A97" w:rsidRDefault="003A0568" w:rsidP="00AC28FA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43" w:type="dxa"/>
            <w:vMerge/>
          </w:tcPr>
          <w:p w:rsidR="003A0568" w:rsidRPr="00A22A97" w:rsidRDefault="003A0568" w:rsidP="00AC28F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568" w:rsidRPr="00A22A97" w:rsidTr="00AC28FA">
        <w:tc>
          <w:tcPr>
            <w:tcW w:w="3544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A0568" w:rsidRPr="00A22A97" w:rsidTr="00AC28FA">
        <w:tc>
          <w:tcPr>
            <w:tcW w:w="3544" w:type="dxa"/>
          </w:tcPr>
          <w:p w:rsidR="003A0568" w:rsidRPr="00A22A97" w:rsidRDefault="003A0568" w:rsidP="00AC28FA">
            <w:pPr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Капітальний ремонт будинку, із них</w:t>
            </w:r>
          </w:p>
        </w:tc>
        <w:tc>
          <w:tcPr>
            <w:tcW w:w="1134" w:type="dxa"/>
          </w:tcPr>
          <w:p w:rsidR="003A0568" w:rsidRPr="00A22A97" w:rsidRDefault="003A0568" w:rsidP="00AC28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110,00</w:t>
            </w:r>
          </w:p>
        </w:tc>
        <w:tc>
          <w:tcPr>
            <w:tcW w:w="2268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110,00</w:t>
            </w:r>
          </w:p>
        </w:tc>
        <w:tc>
          <w:tcPr>
            <w:tcW w:w="1843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568" w:rsidRPr="00A22A97" w:rsidTr="00AC28FA">
        <w:tc>
          <w:tcPr>
            <w:tcW w:w="3544" w:type="dxa"/>
          </w:tcPr>
          <w:p w:rsidR="003A0568" w:rsidRPr="00A22A97" w:rsidRDefault="003A0568" w:rsidP="00AC28FA">
            <w:pPr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 xml:space="preserve">Спів фінансування ОСББ </w:t>
            </w:r>
          </w:p>
        </w:tc>
        <w:tc>
          <w:tcPr>
            <w:tcW w:w="1134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268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1843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 xml:space="preserve">ОСББ </w:t>
            </w:r>
          </w:p>
        </w:tc>
      </w:tr>
      <w:tr w:rsidR="003A0568" w:rsidRPr="00A22A97" w:rsidTr="00AC28FA">
        <w:tc>
          <w:tcPr>
            <w:tcW w:w="3544" w:type="dxa"/>
          </w:tcPr>
          <w:p w:rsidR="003A0568" w:rsidRPr="00A22A97" w:rsidRDefault="003A0568" w:rsidP="00AC28FA">
            <w:pPr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Спів фінансування з селищного бюджету</w:t>
            </w:r>
          </w:p>
        </w:tc>
        <w:tc>
          <w:tcPr>
            <w:tcW w:w="1134" w:type="dxa"/>
          </w:tcPr>
          <w:p w:rsidR="003A0568" w:rsidRPr="00A22A97" w:rsidRDefault="003A0568" w:rsidP="00AC28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2268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843" w:type="dxa"/>
          </w:tcPr>
          <w:p w:rsidR="003A0568" w:rsidRPr="00A22A97" w:rsidRDefault="003A0568" w:rsidP="00AC2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A97">
              <w:rPr>
                <w:rFonts w:ascii="Times New Roman" w:hAnsi="Times New Roman" w:cs="Times New Roman"/>
                <w:sz w:val="28"/>
                <w:szCs w:val="28"/>
              </w:rPr>
              <w:t>Селищна рада</w:t>
            </w:r>
          </w:p>
        </w:tc>
      </w:tr>
    </w:tbl>
    <w:p w:rsidR="003A0568" w:rsidRDefault="003A0568" w:rsidP="003A0568">
      <w:pPr>
        <w:pStyle w:val="aa"/>
        <w:tabs>
          <w:tab w:val="left" w:pos="709"/>
        </w:tabs>
      </w:pPr>
    </w:p>
    <w:p w:rsidR="003A0568" w:rsidRPr="00FC0022" w:rsidRDefault="003A0568" w:rsidP="003A0568">
      <w:pPr>
        <w:pStyle w:val="aa"/>
        <w:tabs>
          <w:tab w:val="left" w:pos="709"/>
        </w:tabs>
        <w:spacing w:line="276" w:lineRule="auto"/>
        <w:jc w:val="center"/>
        <w:rPr>
          <w:b/>
        </w:rPr>
      </w:pPr>
      <w:r w:rsidRPr="00FC0022">
        <w:rPr>
          <w:b/>
        </w:rPr>
        <w:t>Очікувані результати від виконання Програми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 xml:space="preserve">1. Для громади селища: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 xml:space="preserve">1.1. забезпечення інформування населення в умовах реформування житлово-комунального господарства про переваги об'єднань власників житла;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 xml:space="preserve">1.2. покращання технічного стану будинків та умов проживання в них;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 xml:space="preserve">1.3. цільове та раціональне використання коштів мешканців на утримання житлових будинків;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 xml:space="preserve">1.4. створення ефективного власника; 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>1.5. забезпечення умов комфортного проживання населення селища.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>2. Для селищної ради: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>2.1. реалізація державної політики щодо регіонального розвитку у сфері житлово-комунального господарства;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>2.2 зменшення обсягу витрат із селищного бюджету на утримання будинків;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>2.3. поліпшення фізичного стану житлового фонду селища в цілому;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lastRenderedPageBreak/>
        <w:t>2.4. створення прозорого механізму взаємодії селищної влади з об'єднаннями громадян, підприємствами та громадськістю спрямованого на вирішення проблемних питань у сфері житлово-комунального господарства.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</w:pPr>
      <w:r>
        <w:tab/>
        <w:t>Реалізація цієї Програми сприятиме відродженню свідомості селищної громади, спрямованої на поліпшення життєдіяльності ОСББ.</w:t>
      </w:r>
    </w:p>
    <w:p w:rsidR="003A0568" w:rsidRPr="00020551" w:rsidRDefault="003A0568" w:rsidP="003A0568">
      <w:pPr>
        <w:pStyle w:val="aa"/>
        <w:tabs>
          <w:tab w:val="left" w:pos="709"/>
        </w:tabs>
      </w:pPr>
      <w:r>
        <w:t>Секретар селищної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І.І.Котик</w:t>
      </w:r>
    </w:p>
    <w:p w:rsidR="003A0568" w:rsidRPr="00604923" w:rsidRDefault="003A0568" w:rsidP="003A0568">
      <w:pPr>
        <w:pStyle w:val="aa"/>
        <w:tabs>
          <w:tab w:val="left" w:pos="709"/>
        </w:tabs>
        <w:jc w:val="right"/>
        <w:rPr>
          <w:sz w:val="20"/>
        </w:rPr>
      </w:pPr>
      <w:r>
        <w:t xml:space="preserve">                                                                                       </w:t>
      </w:r>
      <w:r w:rsidRPr="00604923">
        <w:rPr>
          <w:sz w:val="20"/>
        </w:rPr>
        <w:t xml:space="preserve">Додаток </w:t>
      </w:r>
    </w:p>
    <w:p w:rsidR="003A0568" w:rsidRDefault="003A0568" w:rsidP="003A0568">
      <w:pPr>
        <w:pStyle w:val="aa"/>
        <w:tabs>
          <w:tab w:val="left" w:pos="709"/>
        </w:tabs>
        <w:ind w:left="6096" w:hanging="6096"/>
        <w:jc w:val="right"/>
        <w:rPr>
          <w:sz w:val="20"/>
        </w:rPr>
      </w:pPr>
      <w:r w:rsidRPr="00604923">
        <w:rPr>
          <w:sz w:val="20"/>
        </w:rPr>
        <w:t xml:space="preserve">                                                                                                  </w:t>
      </w:r>
      <w:r>
        <w:rPr>
          <w:sz w:val="20"/>
        </w:rPr>
        <w:t xml:space="preserve">         до рішення УІІІ сесії </w:t>
      </w:r>
    </w:p>
    <w:p w:rsidR="003A0568" w:rsidRDefault="003A0568" w:rsidP="003A0568">
      <w:pPr>
        <w:pStyle w:val="aa"/>
        <w:tabs>
          <w:tab w:val="left" w:pos="709"/>
        </w:tabs>
        <w:ind w:left="6096" w:hanging="6096"/>
        <w:jc w:val="right"/>
        <w:rPr>
          <w:sz w:val="20"/>
        </w:rPr>
      </w:pPr>
      <w:r>
        <w:rPr>
          <w:sz w:val="20"/>
        </w:rPr>
        <w:t>селищної ради УІІІ скликання</w:t>
      </w:r>
    </w:p>
    <w:p w:rsidR="003A0568" w:rsidRPr="00604923" w:rsidRDefault="003A0568" w:rsidP="003A0568">
      <w:pPr>
        <w:pStyle w:val="aa"/>
        <w:tabs>
          <w:tab w:val="left" w:pos="709"/>
        </w:tabs>
        <w:ind w:left="6096" w:hanging="6096"/>
        <w:jc w:val="right"/>
        <w:rPr>
          <w:sz w:val="20"/>
        </w:rPr>
      </w:pPr>
      <w:r>
        <w:rPr>
          <w:sz w:val="20"/>
        </w:rPr>
        <w:t>від 10.07.2017 року №127</w:t>
      </w:r>
      <w:r w:rsidRPr="00604923">
        <w:rPr>
          <w:sz w:val="20"/>
        </w:rPr>
        <w:t xml:space="preserve"> </w:t>
      </w:r>
    </w:p>
    <w:p w:rsidR="003A0568" w:rsidRPr="00A22A97" w:rsidRDefault="003A0568" w:rsidP="003A0568">
      <w:pPr>
        <w:pStyle w:val="aa"/>
        <w:tabs>
          <w:tab w:val="left" w:pos="709"/>
        </w:tabs>
        <w:spacing w:line="276" w:lineRule="auto"/>
        <w:jc w:val="center"/>
        <w:rPr>
          <w:b/>
        </w:rPr>
      </w:pPr>
      <w:r w:rsidRPr="00A22A97">
        <w:rPr>
          <w:b/>
        </w:rPr>
        <w:t>Порядок співфінансування Прогр</w:t>
      </w:r>
      <w:r>
        <w:rPr>
          <w:b/>
        </w:rPr>
        <w:t>ами.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Метою співфінансування проектів є сприяти </w:t>
      </w:r>
      <w:r w:rsidRPr="00A22A97">
        <w:rPr>
          <w:rFonts w:ascii="Times New Roman" w:hAnsi="Times New Roman" w:cs="Times New Roman"/>
          <w:sz w:val="28"/>
          <w:szCs w:val="28"/>
        </w:rPr>
        <w:t xml:space="preserve">жителям багатоквартирних будинків селища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вирішенні </w:t>
      </w:r>
      <w:r w:rsidRPr="00A22A97">
        <w:rPr>
          <w:rFonts w:ascii="Times New Roman" w:eastAsia="Calibri" w:hAnsi="Times New Roman" w:cs="Times New Roman"/>
          <w:sz w:val="28"/>
          <w:szCs w:val="28"/>
        </w:rPr>
        <w:t>проблем щодо покращення  умов проживання 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Співфінансування проектів здійснюється тільки на капітальні видатки та проходить у два етапи. </w:t>
      </w:r>
      <w:r w:rsidRPr="00A22A97">
        <w:rPr>
          <w:rFonts w:ascii="Times New Roman" w:eastAsia="Calibri" w:hAnsi="Times New Roman" w:cs="Times New Roman"/>
          <w:b/>
          <w:sz w:val="28"/>
          <w:szCs w:val="28"/>
        </w:rPr>
        <w:t>Перший етап</w:t>
      </w: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 – це внесок співвласників та спонсорів. </w:t>
      </w:r>
      <w:r w:rsidRPr="00A22A97">
        <w:rPr>
          <w:rFonts w:ascii="Times New Roman" w:eastAsia="Calibri" w:hAnsi="Times New Roman" w:cs="Times New Roman"/>
          <w:b/>
          <w:sz w:val="28"/>
          <w:szCs w:val="28"/>
        </w:rPr>
        <w:t>Другий етап</w:t>
      </w: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 – внесок селищної ради, що надається після подання в селищну раду звітної документації про використання коштів </w:t>
      </w:r>
      <w:r w:rsidRPr="00A22A97">
        <w:rPr>
          <w:rFonts w:ascii="Times New Roman" w:hAnsi="Times New Roman" w:cs="Times New Roman"/>
          <w:sz w:val="28"/>
          <w:szCs w:val="28"/>
        </w:rPr>
        <w:t>жителям багатоквартирних будинків</w:t>
      </w:r>
      <w:r w:rsidRPr="00A22A97">
        <w:rPr>
          <w:rFonts w:ascii="Times New Roman" w:eastAsia="Calibri" w:hAnsi="Times New Roman" w:cs="Times New Roman"/>
          <w:sz w:val="28"/>
          <w:szCs w:val="28"/>
        </w:rPr>
        <w:t>. Кошти селищної ради перераховуються двома траншами.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2A97">
        <w:rPr>
          <w:rFonts w:ascii="Times New Roman" w:eastAsia="Calibri" w:hAnsi="Times New Roman" w:cs="Times New Roman"/>
          <w:b/>
          <w:sz w:val="28"/>
          <w:szCs w:val="28"/>
        </w:rPr>
        <w:t xml:space="preserve">Для отримання фінансування з селищного бюджету </w:t>
      </w:r>
      <w:r w:rsidRPr="00A22A97">
        <w:rPr>
          <w:rFonts w:ascii="Times New Roman" w:hAnsi="Times New Roman" w:cs="Times New Roman"/>
          <w:b/>
          <w:sz w:val="28"/>
          <w:szCs w:val="28"/>
        </w:rPr>
        <w:t>жителям багатоквартирних будинків</w:t>
      </w:r>
      <w:r w:rsidRPr="00A22A97">
        <w:rPr>
          <w:rFonts w:ascii="Times New Roman" w:eastAsia="Calibri" w:hAnsi="Times New Roman" w:cs="Times New Roman"/>
          <w:b/>
          <w:sz w:val="28"/>
          <w:szCs w:val="28"/>
        </w:rPr>
        <w:t xml:space="preserve"> необхідно: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1) відкрити рахунок в Управлінні державної казначейської служби України у Чаплинському районі Херсонської області (далі – УДК___) (при необхідності);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2) надати в селищну раду пакет документів:</w:t>
      </w:r>
    </w:p>
    <w:p w:rsidR="003A0568" w:rsidRPr="00A22A97" w:rsidRDefault="003A0568" w:rsidP="003A0568">
      <w:pPr>
        <w:numPr>
          <w:ilvl w:val="0"/>
          <w:numId w:val="12"/>
        </w:numPr>
        <w:spacing w:after="0"/>
        <w:ind w:left="993" w:hanging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2A97">
        <w:rPr>
          <w:rFonts w:ascii="Times New Roman" w:eastAsia="Calibri" w:hAnsi="Times New Roman" w:cs="Times New Roman"/>
          <w:b/>
          <w:sz w:val="28"/>
          <w:szCs w:val="28"/>
        </w:rPr>
        <w:t>для отримання І траншу в розмірі 50 %: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1) лист-запит на фінансування;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2) копію оголошення в ЗМІ про відбір виконавців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3) протокол про визначення виду робіт (матеріалів, обсягів);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4) протокол про визначення виконавця робіт (з підписами членів функціональної групи та представників селищної влади);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5) копію угоди з виконавцями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6) кошторис на виконання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7) декларацію / повідомлення про початок виконання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8) копію платіжного доручення про перерахунок внеску </w:t>
      </w:r>
      <w:r w:rsidRPr="00A22A97">
        <w:rPr>
          <w:rFonts w:ascii="Times New Roman" w:hAnsi="Times New Roman" w:cs="Times New Roman"/>
          <w:sz w:val="28"/>
          <w:szCs w:val="28"/>
        </w:rPr>
        <w:t>жителів багатоквартирних будинків</w:t>
      </w: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 на виконавця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9) документи, що підтверджують виконання робіт на суму внеску</w:t>
      </w:r>
      <w:r w:rsidRPr="00A22A97">
        <w:rPr>
          <w:rFonts w:ascii="Times New Roman" w:hAnsi="Times New Roman" w:cs="Times New Roman"/>
          <w:sz w:val="28"/>
          <w:szCs w:val="28"/>
        </w:rPr>
        <w:t xml:space="preserve"> жителів багатоквартирних будинків</w:t>
      </w:r>
      <w:r w:rsidRPr="00A22A97">
        <w:rPr>
          <w:rFonts w:ascii="Times New Roman" w:eastAsia="Calibri" w:hAnsi="Times New Roman" w:cs="Times New Roman"/>
          <w:sz w:val="28"/>
          <w:szCs w:val="28"/>
        </w:rPr>
        <w:t xml:space="preserve">  та донорів;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10) рекомендаційний лист від відділу підтримки проектів ООН (за необхідності).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lastRenderedPageBreak/>
        <w:t>У місячний строк, після отримання коштів І траншу, необхідно за</w:t>
      </w:r>
      <w:r>
        <w:rPr>
          <w:rFonts w:ascii="Times New Roman" w:eastAsia="Calibri" w:hAnsi="Times New Roman" w:cs="Times New Roman"/>
          <w:sz w:val="28"/>
          <w:szCs w:val="28"/>
        </w:rPr>
        <w:t>крити авансовий платіж в УДК</w:t>
      </w:r>
      <w:r w:rsidRPr="00A22A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0568" w:rsidRPr="00A22A97" w:rsidRDefault="003A0568" w:rsidP="003A0568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2A97">
        <w:rPr>
          <w:rFonts w:ascii="Times New Roman" w:eastAsia="Calibri" w:hAnsi="Times New Roman" w:cs="Times New Roman"/>
          <w:b/>
          <w:sz w:val="28"/>
          <w:szCs w:val="28"/>
        </w:rPr>
        <w:t>для отримання ІІ траншу в розмірі 50 % (надається після завершення всіх робіт за кошторисом):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1) лист-запит;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2) копію платіжного доручення про перерахунок коштів І траншу виконавцю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3) акт виконаних робіт на всю вартість;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4) декларація про завершення робіт;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5) корегований кошторис (при необхідності);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6) фото реалізованого проекту;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7) лист-підтвердження від відділу підтримки проектів ООН ( за необхідності).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2A97">
        <w:rPr>
          <w:rFonts w:ascii="Times New Roman" w:eastAsia="Calibri" w:hAnsi="Times New Roman" w:cs="Times New Roman"/>
          <w:b/>
          <w:sz w:val="28"/>
          <w:szCs w:val="28"/>
        </w:rPr>
        <w:t>Після отримання коштів ІІ траншу співвласникам необхідно надати: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1) копію платіжного доручення про перерахунок коштів ІІ траншу виконавцю;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2) підтвердження від виконавця, що засвідчує отримання коштів.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Відповідно до змін чинного законодавства можливе подання додаткових документів.</w:t>
      </w:r>
    </w:p>
    <w:p w:rsidR="003A0568" w:rsidRPr="00A22A97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За згодою сторін між розпорядником коштів та замовником можливий один транш по факту виконаних робіт.</w:t>
      </w:r>
    </w:p>
    <w:p w:rsidR="003A0568" w:rsidRDefault="003A0568" w:rsidP="003A056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2A97">
        <w:rPr>
          <w:rFonts w:ascii="Times New Roman" w:eastAsia="Calibri" w:hAnsi="Times New Roman" w:cs="Times New Roman"/>
          <w:sz w:val="28"/>
          <w:szCs w:val="28"/>
        </w:rPr>
        <w:t>Подаються оригінали всіх документів або копії завірені печаткою організації-зам</w:t>
      </w:r>
      <w:r>
        <w:rPr>
          <w:rFonts w:ascii="Times New Roman" w:eastAsia="Calibri" w:hAnsi="Times New Roman" w:cs="Times New Roman"/>
          <w:sz w:val="28"/>
          <w:szCs w:val="28"/>
        </w:rPr>
        <w:t>овника.</w:t>
      </w:r>
    </w:p>
    <w:p w:rsidR="003A0568" w:rsidRDefault="003A0568" w:rsidP="003A056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568" w:rsidRPr="00A22A97" w:rsidRDefault="003A0568" w:rsidP="003A056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  <w:r w:rsidRPr="00A22A97">
        <w:t>Секретар селищної ради</w:t>
      </w:r>
      <w:r w:rsidRPr="00A22A97">
        <w:tab/>
      </w:r>
      <w:r w:rsidRPr="00A22A97">
        <w:tab/>
      </w:r>
      <w:r w:rsidRPr="00A22A97">
        <w:tab/>
      </w:r>
      <w:r w:rsidRPr="00A22A97">
        <w:tab/>
      </w:r>
      <w:r w:rsidRPr="00A22A97">
        <w:tab/>
        <w:t>І.І.Котик</w:t>
      </w: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3A0568" w:rsidRDefault="003A0568" w:rsidP="003A0568">
      <w:pPr>
        <w:pStyle w:val="aa"/>
        <w:tabs>
          <w:tab w:val="left" w:pos="709"/>
        </w:tabs>
        <w:spacing w:line="276" w:lineRule="auto"/>
        <w:jc w:val="left"/>
      </w:pPr>
    </w:p>
    <w:p w:rsidR="00E41754" w:rsidRPr="003A0568" w:rsidRDefault="00E41754" w:rsidP="003A0568">
      <w:bookmarkStart w:id="0" w:name="_GoBack"/>
      <w:bookmarkEnd w:id="0"/>
    </w:p>
    <w:sectPr w:rsidR="00E41754" w:rsidRPr="003A0568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AB9" w:rsidRDefault="002D6AB9" w:rsidP="001B6788">
      <w:pPr>
        <w:spacing w:after="0" w:line="240" w:lineRule="auto"/>
      </w:pPr>
      <w:r>
        <w:separator/>
      </w:r>
    </w:p>
  </w:endnote>
  <w:endnote w:type="continuationSeparator" w:id="0">
    <w:p w:rsidR="002D6AB9" w:rsidRDefault="002D6AB9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AB9" w:rsidRDefault="002D6AB9" w:rsidP="001B6788">
      <w:pPr>
        <w:spacing w:after="0" w:line="240" w:lineRule="auto"/>
      </w:pPr>
      <w:r>
        <w:separator/>
      </w:r>
    </w:p>
  </w:footnote>
  <w:footnote w:type="continuationSeparator" w:id="0">
    <w:p w:rsidR="002D6AB9" w:rsidRDefault="002D6AB9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D6AB9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0568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B1B26"/>
  <w15:docId w15:val="{A8F1F8CC-5F8F-4118-929F-34D3B692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222B-CD89-4D98-9D2F-2CB9ECF0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9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2017-11-15T08:49:00Z</dcterms:modified>
</cp:coreProperties>
</file>