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5C14F5" w:rsidRDefault="005C14F5" w:rsidP="005C14F5">
      <w:pPr>
        <w:rPr>
          <w:rFonts w:ascii="Times New Roman" w:eastAsia="Times New Roman" w:hAnsi="Times New Roman" w:cs="Times New Roman"/>
          <w:b/>
          <w:bCs/>
          <w:kern w:val="36"/>
          <w:sz w:val="28"/>
          <w:szCs w:val="28"/>
          <w:lang w:eastAsia="ru-RU"/>
        </w:rPr>
      </w:pPr>
      <w:r>
        <w:rPr>
          <w:noProof/>
          <w:lang w:eastAsia="uk-UA"/>
        </w:rPr>
        <mc:AlternateContent>
          <mc:Choice Requires="wps">
            <w:drawing>
              <wp:anchor distT="0" distB="0" distL="114300" distR="114300" simplePos="0" relativeHeight="251659264" behindDoc="0" locked="0" layoutInCell="1" allowOverlap="1" wp14:anchorId="0F5F9358" wp14:editId="60A457DB">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14F5" w:rsidRDefault="005C14F5" w:rsidP="005C14F5">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5C14F5" w:rsidRDefault="005C14F5" w:rsidP="005C14F5">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5C14F5" w:rsidRDefault="005C14F5" w:rsidP="005C14F5">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5C14F5" w:rsidRDefault="005C14F5" w:rsidP="005C14F5">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5C14F5" w:rsidRDefault="005C14F5" w:rsidP="005C14F5">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5C14F5" w:rsidRDefault="005C14F5" w:rsidP="005C14F5">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v:textbox>
              </v:shape>
            </w:pict>
          </mc:Fallback>
        </mc:AlternateContent>
      </w:r>
      <w:bookmarkStart w:id="1" w:name="bookmark2"/>
      <w:r>
        <w:rPr>
          <w:noProof/>
          <w:lang w:eastAsia="uk-UA"/>
        </w:rPr>
        <w:drawing>
          <wp:inline distT="0" distB="0" distL="0" distR="0" wp14:anchorId="1BCB51F0" wp14:editId="621334CF">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1"/>
    </w:p>
    <w:p w:rsidR="00C44197" w:rsidRDefault="00C44197" w:rsidP="00C44197">
      <w:pPr>
        <w:pStyle w:val="a6"/>
        <w:ind w:left="0" w:firstLine="567"/>
        <w:jc w:val="center"/>
        <w:rPr>
          <w:rFonts w:ascii="Times New Roman" w:eastAsia="Times New Roman" w:hAnsi="Times New Roman" w:cs="Times New Roman"/>
          <w:b/>
          <w:bCs/>
          <w:color w:val="333333"/>
          <w:kern w:val="36"/>
          <w:sz w:val="28"/>
          <w:szCs w:val="28"/>
          <w:lang w:eastAsia="ru-RU"/>
        </w:rPr>
      </w:pPr>
      <w:r w:rsidRPr="00C44197">
        <w:rPr>
          <w:rFonts w:ascii="Times New Roman" w:eastAsia="Times New Roman" w:hAnsi="Times New Roman" w:cs="Times New Roman"/>
          <w:b/>
          <w:bCs/>
          <w:color w:val="333333"/>
          <w:kern w:val="36"/>
          <w:sz w:val="28"/>
          <w:szCs w:val="28"/>
          <w:lang w:eastAsia="ru-RU"/>
        </w:rPr>
        <w:t>Яка інформація зазначається в гр. 6 Форми ведення обліку товарних запасів фізичними особами – підприємцями, у тому числі платниками єдиного податку, у разі внутрішнього переміщення товару?</w:t>
      </w:r>
    </w:p>
    <w:p w:rsidR="00C44197" w:rsidRPr="00C44197" w:rsidRDefault="00C44197" w:rsidP="00C44197">
      <w:pPr>
        <w:pStyle w:val="a6"/>
        <w:ind w:left="0" w:firstLine="567"/>
        <w:jc w:val="center"/>
        <w:rPr>
          <w:rFonts w:ascii="Times New Roman" w:hAnsi="Times New Roman" w:cs="Times New Roman"/>
          <w:b/>
          <w:bCs/>
          <w:sz w:val="28"/>
          <w:szCs w:val="28"/>
          <w:lang w:val="ru-RU"/>
        </w:rPr>
      </w:pPr>
    </w:p>
    <w:p w:rsidR="00C44197" w:rsidRPr="00C44197" w:rsidRDefault="00C44197" w:rsidP="00C44197">
      <w:pPr>
        <w:spacing w:after="0" w:line="240" w:lineRule="auto"/>
        <w:ind w:firstLine="567"/>
        <w:jc w:val="both"/>
        <w:rPr>
          <w:rFonts w:ascii="Times New Roman" w:eastAsia="Times New Roman" w:hAnsi="Times New Roman" w:cs="Times New Roman"/>
          <w:color w:val="333333"/>
          <w:sz w:val="28"/>
          <w:szCs w:val="28"/>
          <w:lang w:eastAsia="ru-RU"/>
        </w:rPr>
      </w:pPr>
      <w:r w:rsidRPr="00C44197">
        <w:rPr>
          <w:rFonts w:ascii="Times New Roman" w:eastAsia="Times New Roman" w:hAnsi="Times New Roman" w:cs="Times New Roman"/>
          <w:color w:val="333333"/>
          <w:sz w:val="28"/>
          <w:szCs w:val="28"/>
          <w:lang w:eastAsia="ru-RU"/>
        </w:rPr>
        <w:t>Порядок ведення обліку товарних запасів для фізичних осіб – підприємців, у тому числі платників єдиного податку затверджений наказом Міністерства фінансів України від 03.09.2021 № 496 (далі – Порядок № 496) визначає правила ведення обліку товарних запасів та поширюється на фізичних осіб – підприємців, у тому числі платників єдиного податку (далі – ФОП), які відповідно до п. 12 ст. 3 Закону України від 06 липня 1995 року № 265/95-ВР «Про застосування реєстраторів розрахункових операцій у сфері торгівлі, громадського харчування та послуг», із змінами та доповненнями (далі – Закон № 265), зобов’язані вести облік товарних запасів та здійснювати продаж лише тих товарів, що відображені в такому обліку, та осіб, які фактично здійснюють продаж товарів (надання послуг) та/або розрахункові операції в місці продажу (господарському об’єкті) такого ФОП.</w:t>
      </w:r>
    </w:p>
    <w:p w:rsidR="00C44197" w:rsidRPr="00C44197" w:rsidRDefault="00C44197" w:rsidP="00C44197">
      <w:pPr>
        <w:spacing w:after="0" w:line="240" w:lineRule="auto"/>
        <w:ind w:firstLine="567"/>
        <w:jc w:val="both"/>
        <w:rPr>
          <w:rFonts w:ascii="Times New Roman" w:eastAsia="Times New Roman" w:hAnsi="Times New Roman" w:cs="Times New Roman"/>
          <w:color w:val="333333"/>
          <w:sz w:val="28"/>
          <w:szCs w:val="28"/>
          <w:lang w:eastAsia="ru-RU"/>
        </w:rPr>
      </w:pPr>
      <w:r w:rsidRPr="00C44197">
        <w:rPr>
          <w:rFonts w:ascii="Times New Roman" w:eastAsia="Times New Roman" w:hAnsi="Times New Roman" w:cs="Times New Roman"/>
          <w:color w:val="333333"/>
          <w:sz w:val="28"/>
          <w:szCs w:val="28"/>
          <w:lang w:eastAsia="ru-RU"/>
        </w:rPr>
        <w:t xml:space="preserve">Пунктом 1 </w:t>
      </w:r>
      <w:proofErr w:type="spellStart"/>
      <w:r w:rsidRPr="00C44197">
        <w:rPr>
          <w:rFonts w:ascii="Times New Roman" w:eastAsia="Times New Roman" w:hAnsi="Times New Roman" w:cs="Times New Roman"/>
          <w:color w:val="333333"/>
          <w:sz w:val="28"/>
          <w:szCs w:val="28"/>
          <w:lang w:eastAsia="ru-RU"/>
        </w:rPr>
        <w:t>розд</w:t>
      </w:r>
      <w:proofErr w:type="spellEnd"/>
      <w:r w:rsidRPr="00C44197">
        <w:rPr>
          <w:rFonts w:ascii="Times New Roman" w:eastAsia="Times New Roman" w:hAnsi="Times New Roman" w:cs="Times New Roman"/>
          <w:color w:val="333333"/>
          <w:sz w:val="28"/>
          <w:szCs w:val="28"/>
          <w:lang w:eastAsia="ru-RU"/>
        </w:rPr>
        <w:t>. II Порядку № 496 встановлено, що облік товарних запасів здійснюється ФОП шляхом постійного внесення до Форми ведення обліку товарних запасів (далі – Форма обліку) інформації про надходження та вибуття товарів на підставі первинних документів, які є невід’ємною частиною такого обліку.</w:t>
      </w:r>
    </w:p>
    <w:p w:rsidR="00C44197" w:rsidRPr="00C44197" w:rsidRDefault="00C44197" w:rsidP="00C44197">
      <w:pPr>
        <w:spacing w:after="0" w:line="240" w:lineRule="auto"/>
        <w:ind w:firstLine="567"/>
        <w:jc w:val="both"/>
        <w:rPr>
          <w:rFonts w:ascii="Times New Roman" w:eastAsia="Times New Roman" w:hAnsi="Times New Roman" w:cs="Times New Roman"/>
          <w:color w:val="333333"/>
          <w:sz w:val="28"/>
          <w:szCs w:val="28"/>
          <w:lang w:eastAsia="ru-RU"/>
        </w:rPr>
      </w:pPr>
      <w:r w:rsidRPr="00C44197">
        <w:rPr>
          <w:rFonts w:ascii="Times New Roman" w:eastAsia="Times New Roman" w:hAnsi="Times New Roman" w:cs="Times New Roman"/>
          <w:color w:val="333333"/>
          <w:sz w:val="28"/>
          <w:szCs w:val="28"/>
          <w:lang w:eastAsia="ru-RU"/>
        </w:rPr>
        <w:t xml:space="preserve">При цьому первинні документи – опис залишку товарів на початок обліку, накладні, транспортні документи, митні декларації, акти закупки, фіскальні чеки, товарні чеки, інші документи, що містять реквізити, які дозволяють ідентифікувати постачальника та отримувача товару (найменування суб’єкта господарювання, реєстраційний номер облікової картки платника податків (далі – РНОКПП) або код згідно з ЄДРПОУ суб’єкта господарювання, серія та номер паспорта/номер ID картки для фізичних осіб, які через свої релігійні переконання відмовились від прийняття РНОКПП та офіційно повідомили про це відповідний контролюючий орган і мають відповідну відмітку в паспорті), дату проведення операції, найменування, кількість та вартість товару (п. 2 </w:t>
      </w:r>
      <w:proofErr w:type="spellStart"/>
      <w:r w:rsidRPr="00C44197">
        <w:rPr>
          <w:rFonts w:ascii="Times New Roman" w:eastAsia="Times New Roman" w:hAnsi="Times New Roman" w:cs="Times New Roman"/>
          <w:color w:val="333333"/>
          <w:sz w:val="28"/>
          <w:szCs w:val="28"/>
          <w:lang w:eastAsia="ru-RU"/>
        </w:rPr>
        <w:t>розд</w:t>
      </w:r>
      <w:proofErr w:type="spellEnd"/>
      <w:r w:rsidRPr="00C44197">
        <w:rPr>
          <w:rFonts w:ascii="Times New Roman" w:eastAsia="Times New Roman" w:hAnsi="Times New Roman" w:cs="Times New Roman"/>
          <w:color w:val="333333"/>
          <w:sz w:val="28"/>
          <w:szCs w:val="28"/>
          <w:lang w:eastAsia="ru-RU"/>
        </w:rPr>
        <w:t>. І Порядку № 496).</w:t>
      </w:r>
    </w:p>
    <w:p w:rsidR="00C44197" w:rsidRPr="00C44197" w:rsidRDefault="00C44197" w:rsidP="00C44197">
      <w:pPr>
        <w:spacing w:after="0" w:line="240" w:lineRule="auto"/>
        <w:ind w:firstLine="567"/>
        <w:jc w:val="both"/>
        <w:rPr>
          <w:rFonts w:ascii="Times New Roman" w:eastAsia="Times New Roman" w:hAnsi="Times New Roman" w:cs="Times New Roman"/>
          <w:color w:val="333333"/>
          <w:sz w:val="28"/>
          <w:szCs w:val="28"/>
          <w:lang w:eastAsia="ru-RU"/>
        </w:rPr>
      </w:pPr>
      <w:r w:rsidRPr="00C44197">
        <w:rPr>
          <w:rFonts w:ascii="Times New Roman" w:eastAsia="Times New Roman" w:hAnsi="Times New Roman" w:cs="Times New Roman"/>
          <w:color w:val="333333"/>
          <w:sz w:val="28"/>
          <w:szCs w:val="28"/>
          <w:lang w:eastAsia="ru-RU"/>
        </w:rPr>
        <w:t xml:space="preserve">ФОП, який здійснює діяльність у декількох місцях продажу (господарських об’єктах), веде облік товарних запасів за кожним окремим місцем продажу (господарським об’єктом) на підставі первинних документів, які підтверджують отримання товарів такою ФОП або окремим місцем продажу (господарським об’єктом), та/або первинних документів на внутрішнє переміщення товарів між ФОП та його окремими місцями продажу </w:t>
      </w:r>
      <w:r w:rsidRPr="00C44197">
        <w:rPr>
          <w:rFonts w:ascii="Times New Roman" w:eastAsia="Times New Roman" w:hAnsi="Times New Roman" w:cs="Times New Roman"/>
          <w:color w:val="333333"/>
          <w:sz w:val="28"/>
          <w:szCs w:val="28"/>
          <w:lang w:eastAsia="ru-RU"/>
        </w:rPr>
        <w:lastRenderedPageBreak/>
        <w:t>(господарськими об’єктами). Первинні документи на внутрішнє переміщення товарів є невід’ємною частиною такого обліку.</w:t>
      </w:r>
    </w:p>
    <w:p w:rsidR="00C44197" w:rsidRPr="00C44197" w:rsidRDefault="00C44197" w:rsidP="00C44197">
      <w:pPr>
        <w:spacing w:after="0" w:line="240" w:lineRule="auto"/>
        <w:ind w:firstLine="567"/>
        <w:jc w:val="both"/>
        <w:rPr>
          <w:rFonts w:ascii="Times New Roman" w:eastAsia="Times New Roman" w:hAnsi="Times New Roman" w:cs="Times New Roman"/>
          <w:color w:val="333333"/>
          <w:sz w:val="28"/>
          <w:szCs w:val="28"/>
          <w:lang w:eastAsia="ru-RU"/>
        </w:rPr>
      </w:pPr>
      <w:r w:rsidRPr="00C44197">
        <w:rPr>
          <w:rFonts w:ascii="Times New Roman" w:eastAsia="Times New Roman" w:hAnsi="Times New Roman" w:cs="Times New Roman"/>
          <w:color w:val="333333"/>
          <w:sz w:val="28"/>
          <w:szCs w:val="28"/>
          <w:lang w:eastAsia="ru-RU"/>
        </w:rPr>
        <w:t xml:space="preserve">Первинні документи, на підставі яких </w:t>
      </w:r>
      <w:proofErr w:type="spellStart"/>
      <w:r w:rsidRPr="00C44197">
        <w:rPr>
          <w:rFonts w:ascii="Times New Roman" w:eastAsia="Times New Roman" w:hAnsi="Times New Roman" w:cs="Times New Roman"/>
          <w:color w:val="333333"/>
          <w:sz w:val="28"/>
          <w:szCs w:val="28"/>
          <w:lang w:eastAsia="ru-RU"/>
        </w:rPr>
        <w:t>внесено</w:t>
      </w:r>
      <w:proofErr w:type="spellEnd"/>
      <w:r w:rsidRPr="00C44197">
        <w:rPr>
          <w:rFonts w:ascii="Times New Roman" w:eastAsia="Times New Roman" w:hAnsi="Times New Roman" w:cs="Times New Roman"/>
          <w:color w:val="333333"/>
          <w:sz w:val="28"/>
          <w:szCs w:val="28"/>
          <w:lang w:eastAsia="ru-RU"/>
        </w:rPr>
        <w:t xml:space="preserve"> записи до Форми обліку, є обов’язковими додатками до такої форми. Внесення даних до Форми обліку щодо надходження товарів на підставі первинних документів здійснюється до початку їх реалізації.</w:t>
      </w:r>
    </w:p>
    <w:p w:rsidR="00C44197" w:rsidRPr="00C44197" w:rsidRDefault="00C44197" w:rsidP="00C44197">
      <w:pPr>
        <w:spacing w:after="0" w:line="240" w:lineRule="auto"/>
        <w:ind w:firstLine="567"/>
        <w:jc w:val="both"/>
        <w:rPr>
          <w:rFonts w:ascii="Times New Roman" w:eastAsia="Times New Roman" w:hAnsi="Times New Roman" w:cs="Times New Roman"/>
          <w:color w:val="333333"/>
          <w:sz w:val="28"/>
          <w:szCs w:val="28"/>
          <w:lang w:eastAsia="ru-RU"/>
        </w:rPr>
      </w:pPr>
      <w:r w:rsidRPr="00C44197">
        <w:rPr>
          <w:rFonts w:ascii="Times New Roman" w:eastAsia="Times New Roman" w:hAnsi="Times New Roman" w:cs="Times New Roman"/>
          <w:color w:val="333333"/>
          <w:sz w:val="28"/>
          <w:szCs w:val="28"/>
          <w:lang w:eastAsia="ru-RU"/>
        </w:rPr>
        <w:t>Форма обліку визначена додатком до Порядку № 496 та передбачає заповнення, зокрема, графи 6 «Постачальник (продавець, виробник) або отримувач товару».</w:t>
      </w:r>
    </w:p>
    <w:p w:rsidR="00C44197" w:rsidRPr="00C44197" w:rsidRDefault="00C44197" w:rsidP="00C44197">
      <w:pPr>
        <w:spacing w:after="0" w:line="240" w:lineRule="auto"/>
        <w:ind w:firstLine="567"/>
        <w:jc w:val="both"/>
        <w:rPr>
          <w:rFonts w:ascii="Times New Roman" w:eastAsia="Times New Roman" w:hAnsi="Times New Roman" w:cs="Times New Roman"/>
          <w:color w:val="333333"/>
          <w:sz w:val="28"/>
          <w:szCs w:val="28"/>
          <w:lang w:eastAsia="ru-RU"/>
        </w:rPr>
      </w:pPr>
      <w:r w:rsidRPr="00C44197">
        <w:rPr>
          <w:rFonts w:ascii="Times New Roman" w:eastAsia="Times New Roman" w:hAnsi="Times New Roman" w:cs="Times New Roman"/>
          <w:color w:val="333333"/>
          <w:sz w:val="28"/>
          <w:szCs w:val="28"/>
          <w:lang w:eastAsia="ru-RU"/>
        </w:rPr>
        <w:t xml:space="preserve">Відповідно до </w:t>
      </w:r>
      <w:proofErr w:type="spellStart"/>
      <w:r w:rsidRPr="00C44197">
        <w:rPr>
          <w:rFonts w:ascii="Times New Roman" w:eastAsia="Times New Roman" w:hAnsi="Times New Roman" w:cs="Times New Roman"/>
          <w:color w:val="333333"/>
          <w:sz w:val="28"/>
          <w:szCs w:val="28"/>
          <w:lang w:eastAsia="ru-RU"/>
        </w:rPr>
        <w:t>п.п</w:t>
      </w:r>
      <w:proofErr w:type="spellEnd"/>
      <w:r w:rsidRPr="00C44197">
        <w:rPr>
          <w:rFonts w:ascii="Times New Roman" w:eastAsia="Times New Roman" w:hAnsi="Times New Roman" w:cs="Times New Roman"/>
          <w:color w:val="333333"/>
          <w:sz w:val="28"/>
          <w:szCs w:val="28"/>
          <w:lang w:eastAsia="ru-RU"/>
        </w:rPr>
        <w:t xml:space="preserve">. 3 п. 3 </w:t>
      </w:r>
      <w:proofErr w:type="spellStart"/>
      <w:r w:rsidRPr="00C44197">
        <w:rPr>
          <w:rFonts w:ascii="Times New Roman" w:eastAsia="Times New Roman" w:hAnsi="Times New Roman" w:cs="Times New Roman"/>
          <w:color w:val="333333"/>
          <w:sz w:val="28"/>
          <w:szCs w:val="28"/>
          <w:lang w:eastAsia="ru-RU"/>
        </w:rPr>
        <w:t>розд</w:t>
      </w:r>
      <w:proofErr w:type="spellEnd"/>
      <w:r w:rsidRPr="00C44197">
        <w:rPr>
          <w:rFonts w:ascii="Times New Roman" w:eastAsia="Times New Roman" w:hAnsi="Times New Roman" w:cs="Times New Roman"/>
          <w:color w:val="333333"/>
          <w:sz w:val="28"/>
          <w:szCs w:val="28"/>
          <w:lang w:eastAsia="ru-RU"/>
        </w:rPr>
        <w:t>. ІІ Порядку № 496 у графах 3 – 6 зазначаються реквізити первинного документа (вид первинного документа, дата його складання, номер первинного документа (за наявності), найменування суб’єкта господарювання – постачальника або отримувача, його РНОКПП або код згідно з ЄДРПОУ/номер ID картки для фізичних осіб, які через свої релігійні переконання відмовились від прийняття РНОКПП та офіційно повідомили про це відповідний контролюючий орган і мають відповідну відмітку в паспорті).</w:t>
      </w:r>
    </w:p>
    <w:p w:rsidR="00C44197" w:rsidRPr="00C44197" w:rsidRDefault="00C44197" w:rsidP="00C44197">
      <w:pPr>
        <w:spacing w:after="0" w:line="240" w:lineRule="auto"/>
        <w:ind w:firstLine="567"/>
        <w:jc w:val="both"/>
        <w:rPr>
          <w:rFonts w:ascii="Times New Roman" w:eastAsia="Times New Roman" w:hAnsi="Times New Roman" w:cs="Times New Roman"/>
          <w:color w:val="333333"/>
          <w:sz w:val="28"/>
          <w:szCs w:val="28"/>
          <w:lang w:eastAsia="ru-RU"/>
        </w:rPr>
      </w:pPr>
      <w:r w:rsidRPr="00C44197">
        <w:rPr>
          <w:rFonts w:ascii="Times New Roman" w:eastAsia="Times New Roman" w:hAnsi="Times New Roman" w:cs="Times New Roman"/>
          <w:color w:val="333333"/>
          <w:sz w:val="28"/>
          <w:szCs w:val="28"/>
          <w:lang w:eastAsia="ru-RU"/>
        </w:rPr>
        <w:t xml:space="preserve">Згідно з </w:t>
      </w:r>
      <w:proofErr w:type="spellStart"/>
      <w:r w:rsidRPr="00C44197">
        <w:rPr>
          <w:rFonts w:ascii="Times New Roman" w:eastAsia="Times New Roman" w:hAnsi="Times New Roman" w:cs="Times New Roman"/>
          <w:color w:val="333333"/>
          <w:sz w:val="28"/>
          <w:szCs w:val="28"/>
          <w:lang w:eastAsia="ru-RU"/>
        </w:rPr>
        <w:t>п.п</w:t>
      </w:r>
      <w:proofErr w:type="spellEnd"/>
      <w:r w:rsidRPr="00C44197">
        <w:rPr>
          <w:rFonts w:ascii="Times New Roman" w:eastAsia="Times New Roman" w:hAnsi="Times New Roman" w:cs="Times New Roman"/>
          <w:color w:val="333333"/>
          <w:sz w:val="28"/>
          <w:szCs w:val="28"/>
          <w:lang w:eastAsia="ru-RU"/>
        </w:rPr>
        <w:t xml:space="preserve">. 5 п. 3 </w:t>
      </w:r>
      <w:proofErr w:type="spellStart"/>
      <w:r w:rsidRPr="00C44197">
        <w:rPr>
          <w:rFonts w:ascii="Times New Roman" w:eastAsia="Times New Roman" w:hAnsi="Times New Roman" w:cs="Times New Roman"/>
          <w:color w:val="333333"/>
          <w:sz w:val="28"/>
          <w:szCs w:val="28"/>
          <w:lang w:eastAsia="ru-RU"/>
        </w:rPr>
        <w:t>розд</w:t>
      </w:r>
      <w:proofErr w:type="spellEnd"/>
      <w:r w:rsidRPr="00C44197">
        <w:rPr>
          <w:rFonts w:ascii="Times New Roman" w:eastAsia="Times New Roman" w:hAnsi="Times New Roman" w:cs="Times New Roman"/>
          <w:color w:val="333333"/>
          <w:sz w:val="28"/>
          <w:szCs w:val="28"/>
          <w:lang w:eastAsia="ru-RU"/>
        </w:rPr>
        <w:t>. ІІ Порядку № 496 вибуттям товарів для цілей Порядку № 496, зокрема, вважається внутрішнє переміщення товару між місцями продажу (господарськими об’єктами) та/або місцями зберігання, що належать одному ФОП.</w:t>
      </w:r>
    </w:p>
    <w:p w:rsidR="00C44197" w:rsidRPr="00C44197" w:rsidRDefault="00C44197" w:rsidP="00C44197">
      <w:pPr>
        <w:spacing w:after="0" w:line="240" w:lineRule="auto"/>
        <w:ind w:firstLine="567"/>
        <w:jc w:val="both"/>
        <w:rPr>
          <w:rFonts w:ascii="Times New Roman" w:eastAsia="Times New Roman" w:hAnsi="Times New Roman" w:cs="Times New Roman"/>
          <w:color w:val="333333"/>
          <w:sz w:val="28"/>
          <w:szCs w:val="28"/>
          <w:lang w:eastAsia="ru-RU"/>
        </w:rPr>
      </w:pPr>
      <w:r w:rsidRPr="00C44197">
        <w:rPr>
          <w:rFonts w:ascii="Times New Roman" w:eastAsia="Times New Roman" w:hAnsi="Times New Roman" w:cs="Times New Roman"/>
          <w:color w:val="333333"/>
          <w:sz w:val="28"/>
          <w:szCs w:val="28"/>
          <w:lang w:eastAsia="ru-RU"/>
        </w:rPr>
        <w:t xml:space="preserve">Таким чином, у разі внутрішнього переміщення товару у графі 6 Форми обліку відповідно до </w:t>
      </w:r>
      <w:proofErr w:type="spellStart"/>
      <w:r w:rsidRPr="00C44197">
        <w:rPr>
          <w:rFonts w:ascii="Times New Roman" w:eastAsia="Times New Roman" w:hAnsi="Times New Roman" w:cs="Times New Roman"/>
          <w:color w:val="333333"/>
          <w:sz w:val="28"/>
          <w:szCs w:val="28"/>
          <w:lang w:eastAsia="ru-RU"/>
        </w:rPr>
        <w:t>п.п</w:t>
      </w:r>
      <w:proofErr w:type="spellEnd"/>
      <w:r w:rsidRPr="00C44197">
        <w:rPr>
          <w:rFonts w:ascii="Times New Roman" w:eastAsia="Times New Roman" w:hAnsi="Times New Roman" w:cs="Times New Roman"/>
          <w:color w:val="333333"/>
          <w:sz w:val="28"/>
          <w:szCs w:val="28"/>
          <w:lang w:eastAsia="ru-RU"/>
        </w:rPr>
        <w:t xml:space="preserve">. 3 п. 3 </w:t>
      </w:r>
      <w:proofErr w:type="spellStart"/>
      <w:r w:rsidRPr="00C44197">
        <w:rPr>
          <w:rFonts w:ascii="Times New Roman" w:eastAsia="Times New Roman" w:hAnsi="Times New Roman" w:cs="Times New Roman"/>
          <w:color w:val="333333"/>
          <w:sz w:val="28"/>
          <w:szCs w:val="28"/>
          <w:lang w:eastAsia="ru-RU"/>
        </w:rPr>
        <w:t>розд</w:t>
      </w:r>
      <w:proofErr w:type="spellEnd"/>
      <w:r w:rsidRPr="00C44197">
        <w:rPr>
          <w:rFonts w:ascii="Times New Roman" w:eastAsia="Times New Roman" w:hAnsi="Times New Roman" w:cs="Times New Roman"/>
          <w:color w:val="333333"/>
          <w:sz w:val="28"/>
          <w:szCs w:val="28"/>
          <w:lang w:eastAsia="ru-RU"/>
        </w:rPr>
        <w:t>. ІІ Порядку № 496 слід зазначати найменування суб’єкта господарювання (власника або користувача господарської одиниці звідки вибуває товар), його РНОКПП або код згідно з ЄДРПОУ/номер ID картки для фізичних осіб, які через свої релігійні переконання відмовились від прийняття РНОКПП та офіційно повідомили про це відповідний контролюючий орган і мають відповідну відмітку в паспорті). З метою однозначної ідентифікації господарської одиниці з якої та в яку переміщується товар, додатково рекомендуємо у первинних документах зазначати назву та адресу таких/такої господарської одиниці.</w:t>
      </w:r>
    </w:p>
    <w:p w:rsidR="005C14F5" w:rsidRDefault="005C14F5" w:rsidP="00624CDA">
      <w:pPr>
        <w:spacing w:after="0" w:line="240" w:lineRule="auto"/>
        <w:ind w:firstLine="567"/>
        <w:jc w:val="both"/>
        <w:rPr>
          <w:rFonts w:ascii="Times New Roman" w:hAnsi="Times New Roman" w:cs="Times New Roman"/>
          <w:sz w:val="28"/>
          <w:szCs w:val="28"/>
        </w:rPr>
      </w:pPr>
    </w:p>
    <w:p w:rsidR="005C14F5" w:rsidRDefault="005C14F5" w:rsidP="00624CDA">
      <w:pPr>
        <w:spacing w:after="0" w:line="240" w:lineRule="auto"/>
        <w:ind w:firstLine="567"/>
        <w:jc w:val="both"/>
        <w:rPr>
          <w:rFonts w:ascii="Times New Roman" w:hAnsi="Times New Roman" w:cs="Times New Roman"/>
          <w:sz w:val="28"/>
          <w:szCs w:val="28"/>
        </w:rPr>
      </w:pPr>
    </w:p>
    <w:p w:rsidR="005C14F5" w:rsidRDefault="005C14F5" w:rsidP="00624CDA">
      <w:pPr>
        <w:spacing w:after="0" w:line="240" w:lineRule="auto"/>
        <w:ind w:firstLine="567"/>
        <w:jc w:val="both"/>
        <w:rPr>
          <w:rFonts w:ascii="Times New Roman" w:hAnsi="Times New Roman" w:cs="Times New Roman"/>
          <w:sz w:val="28"/>
          <w:szCs w:val="28"/>
        </w:rPr>
      </w:pPr>
    </w:p>
    <w:p w:rsidR="005C14F5" w:rsidRDefault="005C14F5" w:rsidP="00624CDA">
      <w:pPr>
        <w:spacing w:after="0" w:line="240" w:lineRule="auto"/>
        <w:ind w:firstLine="567"/>
        <w:jc w:val="both"/>
        <w:rPr>
          <w:rFonts w:ascii="Times New Roman" w:hAnsi="Times New Roman" w:cs="Times New Roman"/>
          <w:sz w:val="28"/>
          <w:szCs w:val="28"/>
        </w:rPr>
      </w:pPr>
    </w:p>
    <w:p w:rsidR="005C14F5" w:rsidRDefault="005C14F5" w:rsidP="00624CDA">
      <w:pPr>
        <w:spacing w:after="0" w:line="240" w:lineRule="auto"/>
        <w:ind w:firstLine="567"/>
        <w:jc w:val="both"/>
        <w:rPr>
          <w:rFonts w:ascii="Times New Roman" w:hAnsi="Times New Roman" w:cs="Times New Roman"/>
          <w:sz w:val="28"/>
          <w:szCs w:val="28"/>
        </w:rPr>
      </w:pPr>
    </w:p>
    <w:p w:rsidR="005C14F5" w:rsidRDefault="005C14F5" w:rsidP="00624CDA">
      <w:pPr>
        <w:spacing w:after="0" w:line="240" w:lineRule="auto"/>
        <w:ind w:firstLine="567"/>
        <w:jc w:val="both"/>
        <w:rPr>
          <w:rFonts w:ascii="Times New Roman" w:hAnsi="Times New Roman" w:cs="Times New Roman"/>
          <w:sz w:val="28"/>
          <w:szCs w:val="28"/>
        </w:rPr>
      </w:pPr>
    </w:p>
    <w:p w:rsidR="005C14F5" w:rsidRDefault="005C14F5" w:rsidP="00624CDA">
      <w:pPr>
        <w:spacing w:after="0" w:line="240" w:lineRule="auto"/>
        <w:ind w:firstLine="567"/>
        <w:jc w:val="both"/>
        <w:rPr>
          <w:rFonts w:ascii="Times New Roman" w:hAnsi="Times New Roman" w:cs="Times New Roman"/>
          <w:sz w:val="28"/>
          <w:szCs w:val="28"/>
        </w:rPr>
      </w:pPr>
    </w:p>
    <w:p w:rsidR="005C14F5" w:rsidRDefault="005C14F5" w:rsidP="00624CDA">
      <w:pPr>
        <w:spacing w:after="0" w:line="240" w:lineRule="auto"/>
        <w:ind w:firstLine="567"/>
        <w:jc w:val="both"/>
        <w:rPr>
          <w:rFonts w:ascii="Times New Roman" w:hAnsi="Times New Roman" w:cs="Times New Roman"/>
          <w:sz w:val="28"/>
          <w:szCs w:val="28"/>
        </w:rPr>
      </w:pPr>
    </w:p>
    <w:p w:rsidR="005C14F5" w:rsidRDefault="005C14F5" w:rsidP="00624CDA">
      <w:pPr>
        <w:spacing w:after="0" w:line="240" w:lineRule="auto"/>
        <w:ind w:firstLine="567"/>
        <w:jc w:val="both"/>
        <w:rPr>
          <w:rFonts w:ascii="Times New Roman" w:hAnsi="Times New Roman" w:cs="Times New Roman"/>
          <w:sz w:val="28"/>
          <w:szCs w:val="28"/>
        </w:rPr>
      </w:pPr>
    </w:p>
    <w:p w:rsidR="005C14F5" w:rsidRDefault="005C14F5" w:rsidP="00624CDA">
      <w:pPr>
        <w:spacing w:after="0" w:line="240" w:lineRule="auto"/>
        <w:ind w:firstLine="567"/>
        <w:jc w:val="both"/>
        <w:rPr>
          <w:rFonts w:ascii="Times New Roman" w:hAnsi="Times New Roman" w:cs="Times New Roman"/>
          <w:sz w:val="28"/>
          <w:szCs w:val="28"/>
        </w:rPr>
      </w:pPr>
    </w:p>
    <w:p w:rsidR="005C14F5" w:rsidRPr="001A1619" w:rsidRDefault="005C14F5" w:rsidP="005C14F5">
      <w:pPr>
        <w:spacing w:after="0" w:line="240" w:lineRule="auto"/>
        <w:jc w:val="both"/>
        <w:rPr>
          <w:rFonts w:ascii="Times New Roman" w:hAnsi="Times New Roman" w:cs="Times New Roman"/>
          <w:sz w:val="20"/>
          <w:szCs w:val="20"/>
        </w:rPr>
      </w:pPr>
      <w:r w:rsidRPr="00EA716F">
        <w:rPr>
          <w:rFonts w:ascii="Times New Roman" w:hAnsi="Times New Roman" w:cs="Times New Roman"/>
          <w:sz w:val="20"/>
          <w:szCs w:val="20"/>
        </w:rPr>
        <w:t>18002, м. Черкаси, вул. Хрещатик</w:t>
      </w:r>
      <w:r w:rsidRPr="001A1619">
        <w:rPr>
          <w:rFonts w:ascii="Times New Roman" w:hAnsi="Times New Roman" w:cs="Times New Roman"/>
          <w:sz w:val="20"/>
          <w:szCs w:val="20"/>
        </w:rPr>
        <w:t xml:space="preserve">,235                                           </w:t>
      </w:r>
      <w:r w:rsidRPr="00EA716F">
        <w:rPr>
          <w:rFonts w:ascii="Times New Roman" w:hAnsi="Times New Roman" w:cs="Times New Roman"/>
          <w:sz w:val="20"/>
          <w:szCs w:val="20"/>
          <w:lang w:val="en-US"/>
        </w:rPr>
        <w:t>e</w:t>
      </w:r>
      <w:r w:rsidRPr="001A1619">
        <w:rPr>
          <w:rFonts w:ascii="Times New Roman" w:hAnsi="Times New Roman" w:cs="Times New Roman"/>
          <w:sz w:val="20"/>
          <w:szCs w:val="20"/>
        </w:rPr>
        <w:t>-</w:t>
      </w:r>
      <w:r w:rsidRPr="00EA716F">
        <w:rPr>
          <w:rFonts w:ascii="Times New Roman" w:hAnsi="Times New Roman" w:cs="Times New Roman"/>
          <w:sz w:val="20"/>
          <w:szCs w:val="20"/>
          <w:lang w:val="en-US"/>
        </w:rPr>
        <w:t>mail</w:t>
      </w:r>
      <w:r w:rsidRPr="001A1619">
        <w:rPr>
          <w:rFonts w:ascii="Times New Roman" w:hAnsi="Times New Roman" w:cs="Times New Roman"/>
          <w:sz w:val="20"/>
          <w:szCs w:val="20"/>
        </w:rPr>
        <w:t xml:space="preserve">: </w:t>
      </w:r>
      <w:hyperlink r:id="rId7" w:history="1">
        <w:r w:rsidRPr="00EA716F">
          <w:rPr>
            <w:rStyle w:val="a5"/>
            <w:rFonts w:ascii="Times New Roman" w:hAnsi="Times New Roman" w:cs="Times New Roman"/>
            <w:sz w:val="20"/>
            <w:szCs w:val="20"/>
            <w:lang w:val="en-US"/>
          </w:rPr>
          <w:t>ck</w:t>
        </w:r>
        <w:r w:rsidRPr="001A1619">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zmi</w:t>
        </w:r>
        <w:r w:rsidRPr="001A1619">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tax</w:t>
        </w:r>
        <w:r w:rsidRPr="001A1619">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gov</w:t>
        </w:r>
        <w:r w:rsidRPr="001A1619">
          <w:rPr>
            <w:rStyle w:val="a5"/>
            <w:rFonts w:ascii="Times New Roman" w:hAnsi="Times New Roman" w:cs="Times New Roman"/>
            <w:sz w:val="20"/>
            <w:szCs w:val="20"/>
          </w:rPr>
          <w:t>.</w:t>
        </w:r>
        <w:proofErr w:type="spellStart"/>
        <w:r w:rsidRPr="00EA716F">
          <w:rPr>
            <w:rStyle w:val="a5"/>
            <w:rFonts w:ascii="Times New Roman" w:hAnsi="Times New Roman" w:cs="Times New Roman"/>
            <w:sz w:val="20"/>
            <w:szCs w:val="20"/>
            <w:lang w:val="en-US"/>
          </w:rPr>
          <w:t>ua</w:t>
        </w:r>
        <w:proofErr w:type="spellEnd"/>
      </w:hyperlink>
    </w:p>
    <w:p w:rsidR="005C14F5" w:rsidRPr="00023725" w:rsidRDefault="005C14F5" w:rsidP="005C14F5">
      <w:pPr>
        <w:spacing w:after="0" w:line="240" w:lineRule="auto"/>
        <w:jc w:val="both"/>
        <w:rPr>
          <w:rFonts w:ascii="Times New Roman" w:hAnsi="Times New Roman" w:cs="Times New Roman"/>
          <w:sz w:val="26"/>
          <w:szCs w:val="26"/>
        </w:rPr>
      </w:pPr>
      <w:proofErr w:type="spellStart"/>
      <w:r w:rsidRPr="00EA716F">
        <w:rPr>
          <w:rFonts w:ascii="Times New Roman" w:hAnsi="Times New Roman" w:cs="Times New Roman"/>
          <w:sz w:val="20"/>
          <w:szCs w:val="20"/>
        </w:rPr>
        <w:t>тел</w:t>
      </w:r>
      <w:proofErr w:type="spellEnd"/>
      <w:r w:rsidRPr="00EA716F">
        <w:rPr>
          <w:rFonts w:ascii="Times New Roman" w:hAnsi="Times New Roman" w:cs="Times New Roman"/>
          <w:sz w:val="20"/>
          <w:szCs w:val="20"/>
        </w:rPr>
        <w:t xml:space="preserve">.(0472) 33-91-34                                                                           </w:t>
      </w:r>
      <w:hyperlink r:id="rId8" w:history="1">
        <w:r w:rsidRPr="00EA716F">
          <w:rPr>
            <w:rStyle w:val="a5"/>
            <w:rFonts w:ascii="Times New Roman" w:hAnsi="Times New Roman" w:cs="Times New Roman"/>
            <w:sz w:val="20"/>
            <w:szCs w:val="20"/>
          </w:rPr>
          <w:t>https://ck.tax.gov.ua/</w:t>
        </w:r>
      </w:hyperlink>
    </w:p>
    <w:p w:rsidR="005C14F5" w:rsidRPr="00B82709" w:rsidRDefault="005C14F5" w:rsidP="00624CDA">
      <w:pPr>
        <w:spacing w:after="0" w:line="240" w:lineRule="auto"/>
        <w:ind w:firstLine="567"/>
        <w:jc w:val="both"/>
        <w:rPr>
          <w:rFonts w:ascii="Times New Roman" w:hAnsi="Times New Roman" w:cs="Times New Roman"/>
          <w:sz w:val="28"/>
          <w:szCs w:val="28"/>
        </w:rPr>
      </w:pPr>
    </w:p>
    <w:sectPr w:rsidR="005C14F5" w:rsidRPr="00B82709" w:rsidSect="00C4419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BC3B78"/>
    <w:multiLevelType w:val="hybridMultilevel"/>
    <w:tmpl w:val="3B9405E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E44"/>
    <w:rsid w:val="004D1E44"/>
    <w:rsid w:val="005C14F5"/>
    <w:rsid w:val="005E6DDB"/>
    <w:rsid w:val="00624CDA"/>
    <w:rsid w:val="00B82709"/>
    <w:rsid w:val="00C44197"/>
    <w:rsid w:val="00E532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C14F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14F5"/>
    <w:rPr>
      <w:rFonts w:ascii="Tahoma" w:hAnsi="Tahoma" w:cs="Tahoma"/>
      <w:sz w:val="16"/>
      <w:szCs w:val="16"/>
    </w:rPr>
  </w:style>
  <w:style w:type="character" w:styleId="a5">
    <w:name w:val="Hyperlink"/>
    <w:uiPriority w:val="99"/>
    <w:rsid w:val="005C14F5"/>
    <w:rPr>
      <w:color w:val="0000FF"/>
      <w:u w:val="single"/>
    </w:rPr>
  </w:style>
  <w:style w:type="paragraph" w:styleId="a6">
    <w:name w:val="List Paragraph"/>
    <w:basedOn w:val="a"/>
    <w:uiPriority w:val="34"/>
    <w:qFormat/>
    <w:rsid w:val="00C44197"/>
    <w:pPr>
      <w:spacing w:after="0" w:line="240" w:lineRule="auto"/>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C14F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14F5"/>
    <w:rPr>
      <w:rFonts w:ascii="Tahoma" w:hAnsi="Tahoma" w:cs="Tahoma"/>
      <w:sz w:val="16"/>
      <w:szCs w:val="16"/>
    </w:rPr>
  </w:style>
  <w:style w:type="character" w:styleId="a5">
    <w:name w:val="Hyperlink"/>
    <w:uiPriority w:val="99"/>
    <w:rsid w:val="005C14F5"/>
    <w:rPr>
      <w:color w:val="0000FF"/>
      <w:u w:val="single"/>
    </w:rPr>
  </w:style>
  <w:style w:type="paragraph" w:styleId="a6">
    <w:name w:val="List Paragraph"/>
    <w:basedOn w:val="a"/>
    <w:uiPriority w:val="34"/>
    <w:qFormat/>
    <w:rsid w:val="00C44197"/>
    <w:pPr>
      <w:spacing w:after="0" w:line="240" w:lineRule="auto"/>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3034</Words>
  <Characters>1730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2022-01-05T13:06:00Z</dcterms:created>
  <dcterms:modified xsi:type="dcterms:W3CDTF">2022-01-06T07:56:00Z</dcterms:modified>
</cp:coreProperties>
</file>