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E38" w:rsidRPr="004B243A" w:rsidRDefault="00E82E38" w:rsidP="00E82E38">
      <w:pPr>
        <w:spacing w:after="0" w:line="240" w:lineRule="auto"/>
        <w:jc w:val="center"/>
        <w:rPr>
          <w:rFonts w:ascii="Times New Roman" w:hAnsi="Times New Roman"/>
          <w:b/>
          <w:sz w:val="28"/>
          <w:szCs w:val="28"/>
        </w:rPr>
      </w:pPr>
      <w:r w:rsidRPr="004B243A">
        <w:rPr>
          <w:rFonts w:ascii="Times New Roman" w:hAnsi="Times New Roman"/>
        </w:rPr>
        <w:t xml:space="preserve">    </w:t>
      </w:r>
      <w:r w:rsidRPr="004B243A">
        <w:rPr>
          <w:rFonts w:ascii="Times New Roman" w:hAnsi="Times New Roman"/>
          <w:b/>
          <w:sz w:val="28"/>
          <w:szCs w:val="28"/>
        </w:rPr>
        <w:t>ДЕРЖАВНА ПОДАТКОВА СЛУЖБА  УКРАЇНИ</w:t>
      </w:r>
    </w:p>
    <w:p w:rsidR="00E82E38" w:rsidRPr="004B243A" w:rsidRDefault="00E82E38" w:rsidP="00E82E38">
      <w:pPr>
        <w:spacing w:after="0" w:line="240" w:lineRule="auto"/>
        <w:jc w:val="center"/>
        <w:rPr>
          <w:rFonts w:ascii="Times New Roman" w:hAnsi="Times New Roman"/>
          <w:b/>
          <w:sz w:val="28"/>
          <w:szCs w:val="28"/>
        </w:rPr>
      </w:pPr>
      <w:r w:rsidRPr="004B243A">
        <w:rPr>
          <w:rFonts w:ascii="Times New Roman" w:hAnsi="Times New Roman"/>
          <w:b/>
          <w:sz w:val="28"/>
          <w:szCs w:val="28"/>
        </w:rPr>
        <w:t xml:space="preserve">ГОЛОВНЕ УПРАВЛІННЯ ДПС У ЧЕРКАСЬКІЙ ОБЛАСТІ </w:t>
      </w:r>
    </w:p>
    <w:p w:rsidR="00E82E38" w:rsidRPr="004B243A" w:rsidRDefault="00E82E38" w:rsidP="00E82E38">
      <w:pPr>
        <w:spacing w:after="0" w:line="240" w:lineRule="auto"/>
        <w:jc w:val="center"/>
        <w:rPr>
          <w:rFonts w:ascii="Times New Roman" w:hAnsi="Times New Roman"/>
          <w:sz w:val="24"/>
          <w:szCs w:val="24"/>
        </w:rPr>
      </w:pPr>
      <w:r w:rsidRPr="004B243A">
        <w:rPr>
          <w:rFonts w:ascii="Times New Roman" w:hAnsi="Times New Roman"/>
          <w:sz w:val="24"/>
          <w:szCs w:val="24"/>
        </w:rPr>
        <w:t xml:space="preserve">ВІДДІЛ ПРЕССЛУЖБИ, АДМІНІСТРУВАННЯ СУБСАЙТУ ТА КОМУНІКАЦІЙ </w:t>
      </w:r>
    </w:p>
    <w:p w:rsidR="00E82E38" w:rsidRPr="004B243A" w:rsidRDefault="00E82E38" w:rsidP="00E82E38">
      <w:pPr>
        <w:spacing w:after="0" w:line="240" w:lineRule="auto"/>
        <w:jc w:val="center"/>
        <w:rPr>
          <w:rFonts w:ascii="Times New Roman" w:hAnsi="Times New Roman"/>
          <w:sz w:val="24"/>
          <w:szCs w:val="24"/>
        </w:rPr>
      </w:pPr>
      <w:r w:rsidRPr="004B243A">
        <w:rPr>
          <w:rFonts w:ascii="Times New Roman" w:hAnsi="Times New Roman"/>
          <w:sz w:val="24"/>
          <w:szCs w:val="24"/>
        </w:rPr>
        <w:t>З ГРОМАДСЬКІСТЮ ОРГАНІЗАЦІЙНО-РОЗПОРЯДЧОГО УПРАВЛІННЯ</w:t>
      </w:r>
    </w:p>
    <w:p w:rsidR="00E82E38" w:rsidRPr="004B243A" w:rsidRDefault="00E82E38" w:rsidP="00E82E38">
      <w:pPr>
        <w:spacing w:after="0" w:line="240" w:lineRule="auto"/>
        <w:jc w:val="center"/>
        <w:rPr>
          <w:rFonts w:ascii="Times New Roman" w:hAnsi="Times New Roman"/>
          <w:sz w:val="20"/>
          <w:szCs w:val="20"/>
        </w:rPr>
      </w:pPr>
      <w:r w:rsidRPr="004B243A">
        <w:rPr>
          <w:rFonts w:ascii="Times New Roman" w:hAnsi="Times New Roman"/>
          <w:sz w:val="20"/>
          <w:szCs w:val="20"/>
        </w:rPr>
        <w:t xml:space="preserve">вул. Хрещатик,235, м. Черкаси, 18002, </w:t>
      </w:r>
      <w:proofErr w:type="spellStart"/>
      <w:r w:rsidRPr="004B243A">
        <w:rPr>
          <w:rFonts w:ascii="Times New Roman" w:hAnsi="Times New Roman"/>
          <w:sz w:val="20"/>
          <w:szCs w:val="20"/>
        </w:rPr>
        <w:t>тел</w:t>
      </w:r>
      <w:proofErr w:type="spellEnd"/>
      <w:r w:rsidRPr="004B243A">
        <w:rPr>
          <w:rFonts w:ascii="Times New Roman" w:hAnsi="Times New Roman"/>
          <w:sz w:val="20"/>
          <w:szCs w:val="20"/>
        </w:rPr>
        <w:t xml:space="preserve">.(0472) 33-91-34, </w:t>
      </w:r>
      <w:r w:rsidRPr="004B243A">
        <w:rPr>
          <w:rFonts w:ascii="Times New Roman" w:hAnsi="Times New Roman"/>
          <w:sz w:val="20"/>
          <w:szCs w:val="20"/>
          <w:lang w:val="en-US"/>
        </w:rPr>
        <w:t>e</w:t>
      </w:r>
      <w:r w:rsidRPr="004B243A">
        <w:rPr>
          <w:rFonts w:ascii="Times New Roman" w:hAnsi="Times New Roman"/>
          <w:sz w:val="20"/>
          <w:szCs w:val="20"/>
        </w:rPr>
        <w:t>-</w:t>
      </w:r>
      <w:r w:rsidRPr="004B243A">
        <w:rPr>
          <w:rFonts w:ascii="Times New Roman" w:hAnsi="Times New Roman"/>
          <w:sz w:val="20"/>
          <w:szCs w:val="20"/>
          <w:lang w:val="en-US"/>
        </w:rPr>
        <w:t>mail</w:t>
      </w:r>
      <w:r w:rsidRPr="004B243A">
        <w:rPr>
          <w:rFonts w:ascii="Times New Roman" w:hAnsi="Times New Roman"/>
          <w:sz w:val="20"/>
          <w:szCs w:val="20"/>
        </w:rPr>
        <w:t xml:space="preserve">: </w:t>
      </w:r>
      <w:hyperlink r:id="rId5" w:history="1">
        <w:r w:rsidRPr="004B243A">
          <w:rPr>
            <w:rFonts w:ascii="Times New Roman" w:hAnsi="Times New Roman"/>
            <w:color w:val="0000FF"/>
            <w:sz w:val="20"/>
            <w:szCs w:val="20"/>
            <w:u w:val="single"/>
            <w:lang w:val="en-US"/>
          </w:rPr>
          <w:t>ck</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zmi</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tax</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gov</w:t>
        </w:r>
        <w:r w:rsidRPr="004B243A">
          <w:rPr>
            <w:rFonts w:ascii="Times New Roman" w:hAnsi="Times New Roman"/>
            <w:color w:val="0000FF"/>
            <w:sz w:val="20"/>
            <w:szCs w:val="20"/>
            <w:u w:val="single"/>
          </w:rPr>
          <w:t>.</w:t>
        </w:r>
        <w:proofErr w:type="spellStart"/>
        <w:r w:rsidRPr="004B243A">
          <w:rPr>
            <w:rFonts w:ascii="Times New Roman" w:hAnsi="Times New Roman"/>
            <w:color w:val="0000FF"/>
            <w:sz w:val="20"/>
            <w:szCs w:val="20"/>
            <w:u w:val="single"/>
            <w:lang w:val="en-US"/>
          </w:rPr>
          <w:t>ua</w:t>
        </w:r>
        <w:proofErr w:type="spellEnd"/>
      </w:hyperlink>
    </w:p>
    <w:p w:rsidR="00E82E38" w:rsidRPr="00744D4B" w:rsidRDefault="00E82E38" w:rsidP="00E82E38">
      <w:pPr>
        <w:jc w:val="center"/>
        <w:rPr>
          <w:color w:val="0000FF"/>
          <w:sz w:val="28"/>
          <w:szCs w:val="28"/>
          <w:u w:val="single"/>
        </w:rPr>
      </w:pPr>
    </w:p>
    <w:p w:rsidR="00DA16F6" w:rsidRDefault="001C3249" w:rsidP="00E82E38">
      <w:pPr>
        <w:pStyle w:val="a3"/>
        <w:shd w:val="clear" w:color="auto" w:fill="FFFFFF"/>
        <w:spacing w:before="0" w:beforeAutospacing="0" w:after="0" w:afterAutospacing="0"/>
        <w:jc w:val="center"/>
        <w:rPr>
          <w:b/>
          <w:color w:val="333333"/>
          <w:sz w:val="28"/>
          <w:szCs w:val="28"/>
        </w:rPr>
      </w:pPr>
      <w:r>
        <w:rPr>
          <w:b/>
          <w:color w:val="333333"/>
          <w:sz w:val="28"/>
          <w:szCs w:val="28"/>
        </w:rPr>
        <w:t>З</w:t>
      </w:r>
      <w:r w:rsidR="00DA16F6" w:rsidRPr="00DA16F6">
        <w:rPr>
          <w:b/>
          <w:color w:val="333333"/>
          <w:sz w:val="28"/>
          <w:szCs w:val="28"/>
        </w:rPr>
        <w:t>мін</w:t>
      </w:r>
      <w:r>
        <w:rPr>
          <w:b/>
          <w:color w:val="333333"/>
          <w:sz w:val="28"/>
          <w:szCs w:val="28"/>
        </w:rPr>
        <w:t>и</w:t>
      </w:r>
      <w:r w:rsidR="00DA16F6" w:rsidRPr="00DA16F6">
        <w:rPr>
          <w:b/>
          <w:color w:val="333333"/>
          <w:sz w:val="28"/>
          <w:szCs w:val="28"/>
        </w:rPr>
        <w:t xml:space="preserve"> в декларуванн</w:t>
      </w:r>
      <w:r>
        <w:rPr>
          <w:b/>
          <w:color w:val="333333"/>
          <w:sz w:val="28"/>
          <w:szCs w:val="28"/>
        </w:rPr>
        <w:t>і</w:t>
      </w:r>
      <w:bookmarkStart w:id="0" w:name="_GoBack"/>
      <w:bookmarkEnd w:id="0"/>
      <w:r w:rsidR="00DA16F6" w:rsidRPr="00DA16F6">
        <w:rPr>
          <w:b/>
          <w:color w:val="333333"/>
          <w:sz w:val="28"/>
          <w:szCs w:val="28"/>
        </w:rPr>
        <w:t xml:space="preserve"> акцизного податку</w:t>
      </w:r>
    </w:p>
    <w:p w:rsidR="00DA16F6" w:rsidRPr="00DA16F6" w:rsidRDefault="00DA16F6" w:rsidP="00DA16F6">
      <w:pPr>
        <w:pStyle w:val="a3"/>
        <w:shd w:val="clear" w:color="auto" w:fill="FFFFFF"/>
        <w:spacing w:before="0" w:beforeAutospacing="0" w:after="0" w:afterAutospacing="0"/>
        <w:jc w:val="both"/>
        <w:rPr>
          <w:b/>
          <w:color w:val="333333"/>
          <w:sz w:val="28"/>
          <w:szCs w:val="28"/>
        </w:rPr>
      </w:pPr>
    </w:p>
    <w:p w:rsidR="00DA16F6" w:rsidRPr="00DA16F6" w:rsidRDefault="00E82E38" w:rsidP="00E82E38">
      <w:pPr>
        <w:pStyle w:val="a3"/>
        <w:shd w:val="clear" w:color="auto" w:fill="FFFFFF"/>
        <w:spacing w:before="0" w:beforeAutospacing="0" w:after="0" w:afterAutospacing="0"/>
        <w:ind w:firstLine="708"/>
        <w:jc w:val="both"/>
        <w:rPr>
          <w:color w:val="333333"/>
          <w:sz w:val="28"/>
          <w:szCs w:val="28"/>
        </w:rPr>
      </w:pPr>
      <w:r>
        <w:rPr>
          <w:color w:val="333333"/>
          <w:sz w:val="28"/>
          <w:szCs w:val="28"/>
        </w:rPr>
        <w:t>Головне управління ДПС у Черкаські області інформує, що п</w:t>
      </w:r>
      <w:r w:rsidR="00DA16F6" w:rsidRPr="00DA16F6">
        <w:rPr>
          <w:color w:val="333333"/>
          <w:sz w:val="28"/>
          <w:szCs w:val="28"/>
        </w:rPr>
        <w:t>ідпунктом 212.1.11 п. 212.1 ст. 212 Податкового кодексу України (далі – Кодекс) передбачено, що платником акцизного податку з реалізації суб’єктами господарювання роздрібної торгівлі підакцизних товарів є, зокрема, особа – суб’єкт господарювання роздрібної торгівлі, яка здійснює реалізацію підакцизних товарів.</w:t>
      </w:r>
    </w:p>
    <w:p w:rsidR="00DA16F6" w:rsidRPr="00DA16F6" w:rsidRDefault="00E82E38" w:rsidP="00E82E38">
      <w:pPr>
        <w:pStyle w:val="a3"/>
        <w:shd w:val="clear" w:color="auto" w:fill="FFFFFF"/>
        <w:spacing w:before="0" w:beforeAutospacing="0" w:after="0" w:afterAutospacing="0"/>
        <w:ind w:firstLine="708"/>
        <w:jc w:val="both"/>
        <w:rPr>
          <w:color w:val="333333"/>
          <w:sz w:val="28"/>
          <w:szCs w:val="28"/>
        </w:rPr>
      </w:pPr>
      <w:r>
        <w:rPr>
          <w:color w:val="333333"/>
          <w:sz w:val="28"/>
          <w:szCs w:val="28"/>
        </w:rPr>
        <w:t>Так, в</w:t>
      </w:r>
      <w:r w:rsidR="00DA16F6" w:rsidRPr="00DA16F6">
        <w:rPr>
          <w:color w:val="333333"/>
          <w:sz w:val="28"/>
          <w:szCs w:val="28"/>
        </w:rPr>
        <w:t>ідповідно до п. 49.1 ст. 49 Кодексу податкова декларація, зокрема декларація акцизного податку (далі – Декларація), подається за звітний період в установлені цим Кодексом строки контролюючому органу, в якому перебуває на обліку платник податків.</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 xml:space="preserve">Згідно з </w:t>
      </w:r>
      <w:proofErr w:type="spellStart"/>
      <w:r w:rsidRPr="00DA16F6">
        <w:rPr>
          <w:color w:val="333333"/>
          <w:sz w:val="28"/>
          <w:szCs w:val="28"/>
        </w:rPr>
        <w:t>п.п</w:t>
      </w:r>
      <w:proofErr w:type="spellEnd"/>
      <w:r w:rsidRPr="00DA16F6">
        <w:rPr>
          <w:color w:val="333333"/>
          <w:sz w:val="28"/>
          <w:szCs w:val="28"/>
        </w:rPr>
        <w:t>. 212.3.1</w:t>
      </w:r>
      <w:r w:rsidRPr="00DA16F6">
        <w:rPr>
          <w:color w:val="333333"/>
          <w:sz w:val="28"/>
          <w:szCs w:val="28"/>
          <w:vertAlign w:val="superscript"/>
        </w:rPr>
        <w:t>1</w:t>
      </w:r>
      <w:r w:rsidRPr="00DA16F6">
        <w:rPr>
          <w:color w:val="333333"/>
          <w:sz w:val="28"/>
          <w:szCs w:val="28"/>
        </w:rPr>
        <w:t> п. 212.3 ст. 212 Кодексу особи – суб’єкти господарювання роздрібної торгівлі, які здійснюють реалізацію підакцизних товарів, підлягають обов’язковій реєстрації як платники податку контролюючими органами за місцезнаходженням пункту продажу товарів не пізніше граничного терміну подання Декларації за місяць, в якому здійснюється господарська діяльність.</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Відповідно до абзацу першого п. 2 розділу І Порядку заповнення та подання декларації акцизного податку, затвердженого наказом Міністерства фінансів України від 23.01.2015 № 14, зі змінами та доповненнями (далі – Порядок), особи, визначені ст. 212 Кодекс</w:t>
      </w:r>
      <w:r>
        <w:rPr>
          <w:color w:val="333333"/>
          <w:sz w:val="28"/>
          <w:szCs w:val="28"/>
        </w:rPr>
        <w:t xml:space="preserve">у як платники акцизного податку, </w:t>
      </w:r>
      <w:r w:rsidRPr="00DA16F6">
        <w:rPr>
          <w:color w:val="333333"/>
          <w:sz w:val="28"/>
          <w:szCs w:val="28"/>
        </w:rPr>
        <w:t>складають та подають Декларацію.</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Згідно з п. 10 розділу V Порядку додаток 6 «Розрахунок сум акцизного податку з реалізації суб’єктами господарювання роздрібної торгівлі підакцизних товарів» до Декларації заповнюється окремо для кожної адміністративно-територіальної одиниці, у межах якої знаходяться місця здійснення реалізації підакцизних товарів, з обов’язковим зазначенням відповідного коду органу місцевого самоврядування за КОАТУУ.</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З метою правильного розподілення сум акцизного податку з роздрібної реалізації підакцизних товарів між місцевими бюджетами розділ «Д» (код операції Д 1.1) та додаток 6 до Декларації пов’язані з кодами адміністративних одиниць за КОАТУУ.</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До завершення періоду окремого виконання бюджетів ТГ, що об’єдналися, функції місцевих фінансових органів ТГ, що об’єдналися, здійснюють:</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відповідні місцеві фінансові органи, створені до об’єднання ТГ;</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сільський, селищний, міський голова, обраний об’єднаною ТГ, якщо у відповідних ТГ місцеві фінансові органи не були створені згідно із законом.</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lastRenderedPageBreak/>
        <w:t xml:space="preserve">Перелік рахунків для зарахування надходжень до державного та місцевих бюджетів розміщено на офіційному </w:t>
      </w:r>
      <w:proofErr w:type="spellStart"/>
      <w:r w:rsidRPr="00DA16F6">
        <w:rPr>
          <w:color w:val="333333"/>
          <w:sz w:val="28"/>
          <w:szCs w:val="28"/>
        </w:rPr>
        <w:t>вебпорталі</w:t>
      </w:r>
      <w:proofErr w:type="spellEnd"/>
      <w:r w:rsidRPr="00DA16F6">
        <w:rPr>
          <w:color w:val="333333"/>
          <w:sz w:val="28"/>
          <w:szCs w:val="28"/>
        </w:rPr>
        <w:t xml:space="preserve"> ДПС в розділі «Бюджетні рахунки».</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Суб’єкт господарювання роздрібної торгівлі підакцизними товарами, що має пункти продажу на території одного або декількох населених пунктів, що входять до складу ТГ, яка належить до контролюючого органу за основним місцем обліку платника, подає Декларацію та заповнює один додаток 6 до Декларації із зазначенням коду КОАТУУ за основним місцем обліку, де вказуються всі обсяги продажу підакцизних товарів та податкові зобов’язання, які виникли внаслідок здійснення діяльності на території ТГ. При цьому в додатку 10 до Декларації платник зазначає нарахування акцизного податку в розрізі кожного коду КОАТУУ, який був до об’єднання ТГ.</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Суб’єкт господарювання роздрібної торгівлі підакцизними товарами, що має один або декілька пунктів продажу на території одного або декількох населених пунктів, що входять до складу ТГ, яка належить до контролюючого органу не за основним місцем обліку платника, подає одну Декларацію та один додаток 6 (із зазначенням самостійно обраного коду КОАТУУ, за яким наявні пункти продажу підакцизних товарів, який був до об’єднання в ТГ). При цьому в додатку 10 до Декларації платник зазначає нарахування акцизного податку в розрізі кожного коду КОАТУУ, який був до об’єднання ТГ.</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Відповідно до ст. 64 Бюджетного кодексу України до доходів загального фонду бюджетів сільських, селищних, міських ТГ належить, зокрема, акцизний податок з реалізації суб’єктами господарювання роздрібної торгівлі підакцизних товарів.</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При цьому абзацом першим частини дев’ятої ст. 8 Закону України від 05 лютого 2015 року № 157-VIII  «Про добровільне об’єднання територіальних громад», зі змінами та доповненнями (далі – Закон № 157), встановлено, що бюджети ТГ виконуються окремо до закінчення бюджетного періоду з урахуванням особливостей, встановлених частиною дев’ятою ст. 8 Закону № 157.</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Щодо декларування податкових зобов’язань по акцизному податку з реалізації пального та спирту етилового звертаємо увагу, що відповідно до змін, внесених до Порядку наказом Міністерства фінансів України від 08.12.2020    № 747, для платників акцизного податку, які реалізують пальне або спирт етиловий (</w:t>
      </w:r>
      <w:proofErr w:type="spellStart"/>
      <w:r w:rsidRPr="00DA16F6">
        <w:rPr>
          <w:color w:val="333333"/>
          <w:sz w:val="28"/>
          <w:szCs w:val="28"/>
        </w:rPr>
        <w:t>п.п</w:t>
      </w:r>
      <w:proofErr w:type="spellEnd"/>
      <w:r w:rsidRPr="00DA16F6">
        <w:rPr>
          <w:color w:val="333333"/>
          <w:sz w:val="28"/>
          <w:szCs w:val="28"/>
        </w:rPr>
        <w:t>. 212.1.15 п. 212.1 ст. 212 Кодексу), змінено порядок відображення у додатку 1</w:t>
      </w:r>
      <w:r w:rsidRPr="00DA16F6">
        <w:rPr>
          <w:color w:val="333333"/>
          <w:sz w:val="28"/>
          <w:szCs w:val="28"/>
          <w:vertAlign w:val="superscript"/>
        </w:rPr>
        <w:t>1</w:t>
      </w:r>
      <w:r w:rsidRPr="00DA16F6">
        <w:rPr>
          <w:color w:val="333333"/>
          <w:sz w:val="28"/>
          <w:szCs w:val="28"/>
        </w:rPr>
        <w:t> (суми акцизного податку з реалізації пального) та у додатку 1</w:t>
      </w:r>
      <w:r w:rsidRPr="00DA16F6">
        <w:rPr>
          <w:color w:val="333333"/>
          <w:sz w:val="28"/>
          <w:szCs w:val="28"/>
          <w:vertAlign w:val="superscript"/>
        </w:rPr>
        <w:t>2</w:t>
      </w:r>
      <w:r w:rsidRPr="00DA16F6">
        <w:rPr>
          <w:color w:val="333333"/>
          <w:sz w:val="28"/>
          <w:szCs w:val="28"/>
        </w:rPr>
        <w:t> (суми акцизного податку з реалізації спирту етилового) до Декларації обсягів реалізованого/отриманого пального за показниками акцизних накладних/розрахунків коригування до акцизних накладних.</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Так, зокрема:</w:t>
      </w:r>
    </w:p>
    <w:p w:rsidR="00DA16F6" w:rsidRPr="00DA16F6" w:rsidRDefault="00DA16F6" w:rsidP="00DA16F6">
      <w:pPr>
        <w:pStyle w:val="a3"/>
        <w:shd w:val="clear" w:color="auto" w:fill="FFFFFF"/>
        <w:spacing w:before="0" w:beforeAutospacing="0" w:after="0" w:afterAutospacing="0"/>
        <w:jc w:val="both"/>
        <w:rPr>
          <w:color w:val="333333"/>
          <w:sz w:val="28"/>
          <w:szCs w:val="28"/>
        </w:rPr>
      </w:pPr>
      <w:r w:rsidRPr="00DA16F6">
        <w:rPr>
          <w:color w:val="333333"/>
          <w:sz w:val="28"/>
          <w:szCs w:val="28"/>
        </w:rPr>
        <w:t>у графах 4 та 5 зазначаються обсяги отриманого/реалізованого пального/спирту етилового суб’єктом господарювання у звітному періоді, зазначені у других/перших примірниках, зареєстрованих у Єдиному реєстрі акцизних накладних:</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акцизних накладних, складених у звітному періоді;</w:t>
      </w:r>
    </w:p>
    <w:p w:rsidR="00DA16F6" w:rsidRPr="00DA16F6" w:rsidRDefault="00DA16F6" w:rsidP="00DA16F6">
      <w:pPr>
        <w:pStyle w:val="a3"/>
        <w:shd w:val="clear" w:color="auto" w:fill="FFFFFF"/>
        <w:spacing w:before="0" w:beforeAutospacing="0" w:after="0" w:afterAutospacing="0"/>
        <w:jc w:val="both"/>
        <w:rPr>
          <w:color w:val="333333"/>
          <w:sz w:val="28"/>
          <w:szCs w:val="28"/>
        </w:rPr>
      </w:pPr>
      <w:r w:rsidRPr="00DA16F6">
        <w:rPr>
          <w:color w:val="333333"/>
          <w:sz w:val="28"/>
          <w:szCs w:val="28"/>
        </w:rPr>
        <w:lastRenderedPageBreak/>
        <w:t>розрахунків коригування до акцизних накладних, якими коригуються показники акцизної накладної, складеної у звітному періоді.</w:t>
      </w:r>
    </w:p>
    <w:p w:rsidR="00DA16F6" w:rsidRPr="00DA16F6"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 xml:space="preserve">Згідно з п. 46.4 ст. 46 Кодексу у додатку 10 до Декларації платник податку може надати </w:t>
      </w:r>
      <w:proofErr w:type="spellStart"/>
      <w:r w:rsidRPr="00DA16F6">
        <w:rPr>
          <w:color w:val="333333"/>
          <w:sz w:val="28"/>
          <w:szCs w:val="28"/>
        </w:rPr>
        <w:t>розшифровку</w:t>
      </w:r>
      <w:proofErr w:type="spellEnd"/>
      <w:r w:rsidRPr="00DA16F6">
        <w:rPr>
          <w:color w:val="333333"/>
          <w:sz w:val="28"/>
          <w:szCs w:val="28"/>
        </w:rPr>
        <w:t xml:space="preserve"> до додатка 1</w:t>
      </w:r>
      <w:r w:rsidRPr="00DA16F6">
        <w:rPr>
          <w:color w:val="333333"/>
          <w:sz w:val="28"/>
          <w:szCs w:val="28"/>
          <w:vertAlign w:val="superscript"/>
        </w:rPr>
        <w:t>1</w:t>
      </w:r>
      <w:r w:rsidRPr="00DA16F6">
        <w:rPr>
          <w:color w:val="333333"/>
          <w:sz w:val="28"/>
          <w:szCs w:val="28"/>
        </w:rPr>
        <w:t> та/або додатка 1</w:t>
      </w:r>
      <w:r w:rsidRPr="00DA16F6">
        <w:rPr>
          <w:color w:val="333333"/>
          <w:sz w:val="28"/>
          <w:szCs w:val="28"/>
          <w:vertAlign w:val="superscript"/>
        </w:rPr>
        <w:t>2</w:t>
      </w:r>
      <w:r w:rsidRPr="00DA16F6">
        <w:rPr>
          <w:color w:val="333333"/>
          <w:sz w:val="28"/>
          <w:szCs w:val="28"/>
        </w:rPr>
        <w:t> щодо обсягів отриманої/реалізованої підакцизної продукції, на яку складені акцизні накладні у попередніх звітних періодах, за акцизними складами/акцизними складами пересувними із зазначенням їхнього унікального номера в розрізі товарів (продукції) за кодами згідно з УКТ ЗЕД.</w:t>
      </w:r>
    </w:p>
    <w:p w:rsidR="001E0948" w:rsidRDefault="00DA16F6" w:rsidP="00E82E38">
      <w:pPr>
        <w:pStyle w:val="a3"/>
        <w:shd w:val="clear" w:color="auto" w:fill="FFFFFF"/>
        <w:spacing w:before="0" w:beforeAutospacing="0" w:after="0" w:afterAutospacing="0"/>
        <w:ind w:firstLine="708"/>
        <w:jc w:val="both"/>
        <w:rPr>
          <w:color w:val="333333"/>
          <w:sz w:val="28"/>
          <w:szCs w:val="28"/>
        </w:rPr>
      </w:pPr>
      <w:r w:rsidRPr="00DA16F6">
        <w:rPr>
          <w:color w:val="333333"/>
          <w:sz w:val="28"/>
          <w:szCs w:val="28"/>
        </w:rPr>
        <w:t>Нагадуємо, що згідно з п. 120.1 ст. 120 Кодексу неподання або несвоєчасне подання платником податків або іншими особами, зобов’язаними нараховувати і сплачувати податки та збори, податкових декларацій (розрахунків), а також іншої звітності, обов’язок подання якої до контролюючих органів передбачено Кодексом, тягнуть за собою накладення штрафу в розмірах, передбачених цією статтею, за кожне таке неподання або несвоєчасне подання. </w:t>
      </w:r>
    </w:p>
    <w:sectPr w:rsidR="001E0948" w:rsidSect="00DA16F6">
      <w:pgSz w:w="11906" w:h="16838"/>
      <w:pgMar w:top="850" w:right="850"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6F6"/>
    <w:rsid w:val="001C3249"/>
    <w:rsid w:val="001E0948"/>
    <w:rsid w:val="0027134D"/>
    <w:rsid w:val="00473D82"/>
    <w:rsid w:val="005B54BF"/>
    <w:rsid w:val="00DA16F6"/>
    <w:rsid w:val="00E82E38"/>
    <w:rsid w:val="00F63F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16F6"/>
    <w:pPr>
      <w:spacing w:before="100" w:beforeAutospacing="1" w:after="100" w:afterAutospacing="1" w:line="240" w:lineRule="auto"/>
    </w:pPr>
    <w:rPr>
      <w:rFonts w:ascii="Times New Roman" w:hAnsi="Times New Roman" w:cs="Times New Roman"/>
      <w:sz w:val="24"/>
      <w:szCs w:val="24"/>
      <w:lang w:eastAsia="uk-UA"/>
    </w:rPr>
  </w:style>
  <w:style w:type="paragraph" w:styleId="a4">
    <w:name w:val="Balloon Text"/>
    <w:basedOn w:val="a"/>
    <w:link w:val="a5"/>
    <w:uiPriority w:val="99"/>
    <w:semiHidden/>
    <w:unhideWhenUsed/>
    <w:rsid w:val="00DA16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16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16F6"/>
    <w:pPr>
      <w:spacing w:before="100" w:beforeAutospacing="1" w:after="100" w:afterAutospacing="1" w:line="240" w:lineRule="auto"/>
    </w:pPr>
    <w:rPr>
      <w:rFonts w:ascii="Times New Roman" w:hAnsi="Times New Roman" w:cs="Times New Roman"/>
      <w:sz w:val="24"/>
      <w:szCs w:val="24"/>
      <w:lang w:eastAsia="uk-UA"/>
    </w:rPr>
  </w:style>
  <w:style w:type="paragraph" w:styleId="a4">
    <w:name w:val="Balloon Text"/>
    <w:basedOn w:val="a"/>
    <w:link w:val="a5"/>
    <w:uiPriority w:val="99"/>
    <w:semiHidden/>
    <w:unhideWhenUsed/>
    <w:rsid w:val="00DA16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16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30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4144</Words>
  <Characters>2363</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2021-04-08T13:02:00Z</cp:lastPrinted>
  <dcterms:created xsi:type="dcterms:W3CDTF">2021-04-08T12:53:00Z</dcterms:created>
  <dcterms:modified xsi:type="dcterms:W3CDTF">2021-04-12T10:58:00Z</dcterms:modified>
</cp:coreProperties>
</file>