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D1D" w:rsidRPr="00390D1D" w:rsidRDefault="00390D1D" w:rsidP="00390D1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0D1D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390D1D" w:rsidRPr="00390D1D" w:rsidRDefault="00390D1D" w:rsidP="00390D1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0D1D">
        <w:rPr>
          <w:rFonts w:ascii="Times New Roman" w:eastAsia="Calibri" w:hAnsi="Times New Roman" w:cs="Times New Roman"/>
          <w:b/>
          <w:sz w:val="28"/>
          <w:szCs w:val="28"/>
        </w:rPr>
        <w:t>ГОЛОВНЕ УПРАВЛІННЯ ДПС У ЧЕРКАСЬКІЙ ОБЛАСТІ</w:t>
      </w:r>
    </w:p>
    <w:p w:rsidR="00390D1D" w:rsidRPr="00390D1D" w:rsidRDefault="00390D1D" w:rsidP="00390D1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90D1D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390D1D" w:rsidRPr="00390D1D" w:rsidRDefault="00390D1D" w:rsidP="00390D1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90D1D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390D1D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390D1D">
        <w:rPr>
          <w:rFonts w:ascii="Times New Roman" w:eastAsia="Calibri" w:hAnsi="Times New Roman" w:cs="Times New Roman"/>
          <w:sz w:val="20"/>
          <w:szCs w:val="20"/>
        </w:rPr>
        <w:t xml:space="preserve">.(0472) 33-91-34, </w:t>
      </w:r>
      <w:r w:rsidRPr="00390D1D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390D1D">
        <w:rPr>
          <w:rFonts w:ascii="Times New Roman" w:eastAsia="Calibri" w:hAnsi="Times New Roman" w:cs="Times New Roman"/>
          <w:sz w:val="20"/>
          <w:szCs w:val="20"/>
        </w:rPr>
        <w:t>-</w:t>
      </w:r>
      <w:r w:rsidRPr="00390D1D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390D1D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390D1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390D1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390D1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390D1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@</w:t>
        </w:r>
        <w:r w:rsidRPr="00390D1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390D1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390D1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390D1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390D1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</w:hyperlink>
    </w:p>
    <w:p w:rsidR="00390D1D" w:rsidRPr="00390D1D" w:rsidRDefault="00390D1D" w:rsidP="00390D1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390D1D" w:rsidRPr="00390D1D" w:rsidRDefault="00390D1D" w:rsidP="00390D1D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val="ru-RU" w:eastAsia="ru-RU"/>
        </w:rPr>
      </w:pPr>
    </w:p>
    <w:p w:rsidR="00C817E7" w:rsidRPr="00390D1D" w:rsidRDefault="000F01EE" w:rsidP="00C817E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817E7" w:rsidRPr="00C817E7">
        <w:rPr>
          <w:rFonts w:ascii="Times New Roman" w:hAnsi="Times New Roman" w:cs="Times New Roman"/>
          <w:b/>
          <w:sz w:val="28"/>
          <w:szCs w:val="28"/>
        </w:rPr>
        <w:t>податку</w:t>
      </w:r>
      <w:r>
        <w:rPr>
          <w:rFonts w:ascii="Times New Roman" w:hAnsi="Times New Roman" w:cs="Times New Roman"/>
          <w:b/>
          <w:sz w:val="28"/>
          <w:szCs w:val="28"/>
        </w:rPr>
        <w:t>вання</w:t>
      </w:r>
      <w:r w:rsidR="00C817E7" w:rsidRPr="00C817E7">
        <w:rPr>
          <w:rFonts w:ascii="Times New Roman" w:hAnsi="Times New Roman" w:cs="Times New Roman"/>
          <w:b/>
          <w:sz w:val="28"/>
          <w:szCs w:val="28"/>
        </w:rPr>
        <w:t xml:space="preserve"> варт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817E7" w:rsidRPr="00C817E7">
        <w:rPr>
          <w:rFonts w:ascii="Times New Roman" w:hAnsi="Times New Roman" w:cs="Times New Roman"/>
          <w:b/>
          <w:sz w:val="28"/>
          <w:szCs w:val="28"/>
        </w:rPr>
        <w:t>ст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 w:rsidR="00C817E7" w:rsidRPr="00C817E7">
        <w:rPr>
          <w:rFonts w:ascii="Times New Roman" w:hAnsi="Times New Roman" w:cs="Times New Roman"/>
          <w:b/>
          <w:sz w:val="28"/>
          <w:szCs w:val="28"/>
        </w:rPr>
        <w:t xml:space="preserve"> спадщини (подарунку), отриманої </w:t>
      </w:r>
      <w:r>
        <w:rPr>
          <w:rFonts w:ascii="Times New Roman" w:hAnsi="Times New Roman" w:cs="Times New Roman"/>
          <w:b/>
          <w:sz w:val="28"/>
          <w:szCs w:val="28"/>
        </w:rPr>
        <w:t>фізичною особою</w:t>
      </w:r>
      <w:r w:rsidR="00C817E7" w:rsidRPr="00C817E7"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 xml:space="preserve">нерезидентом від </w:t>
      </w:r>
      <w:r>
        <w:rPr>
          <w:rFonts w:ascii="Times New Roman" w:hAnsi="Times New Roman" w:cs="Times New Roman"/>
          <w:b/>
          <w:sz w:val="28"/>
          <w:szCs w:val="28"/>
        </w:rPr>
        <w:t>фізично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z w:val="28"/>
          <w:szCs w:val="28"/>
        </w:rPr>
        <w:t xml:space="preserve"> особ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- резидента</w:t>
      </w:r>
    </w:p>
    <w:p w:rsidR="00C817E7" w:rsidRPr="00C817E7" w:rsidRDefault="00C817E7" w:rsidP="00C817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інформує, що в</w:t>
      </w:r>
      <w:r w:rsidRPr="00C817E7">
        <w:rPr>
          <w:rFonts w:ascii="Times New Roman" w:hAnsi="Times New Roman" w:cs="Times New Roman"/>
          <w:sz w:val="28"/>
          <w:szCs w:val="28"/>
        </w:rPr>
        <w:t xml:space="preserve">ідповідно до п. 174.6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17E7">
        <w:rPr>
          <w:rFonts w:ascii="Times New Roman" w:hAnsi="Times New Roman" w:cs="Times New Roman"/>
          <w:sz w:val="28"/>
          <w:szCs w:val="28"/>
        </w:rPr>
        <w:t>ст. 174 Податкового кодексу України від 02 грудня 2010 року № 2755 -VІ із змінами та доповненнями (далі – ПКУ) об’єкти дарування, зазначені в п. 174.1 ст. 174 ПКУ, подаровані платнику податку іншою фізичною особою, оподатковуються згідно з правилами, встановленими цим розділом для оподаткування спадщини.</w:t>
      </w:r>
    </w:p>
    <w:p w:rsidR="00C817E7" w:rsidRDefault="00C817E7" w:rsidP="00C817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7E7">
        <w:rPr>
          <w:rFonts w:ascii="Times New Roman" w:hAnsi="Times New Roman" w:cs="Times New Roman"/>
          <w:sz w:val="28"/>
          <w:szCs w:val="28"/>
        </w:rPr>
        <w:t>Об’єкти спадщини оподатковуються за ставкою, визначеною в п. 167.1 ст. 167 ПКУ, для будь-якого об’єкта спадщини, що успадковується спадкоємцем - нерезидентом від спадкодавця - резидента (</w:t>
      </w:r>
      <w:proofErr w:type="spellStart"/>
      <w:r w:rsidRPr="00C817E7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C817E7">
        <w:rPr>
          <w:rFonts w:ascii="Times New Roman" w:hAnsi="Times New Roman" w:cs="Times New Roman"/>
          <w:sz w:val="28"/>
          <w:szCs w:val="28"/>
        </w:rPr>
        <w:t>. 174.2.3 п. 174.2 ст. 174 ПКУ).</w:t>
      </w:r>
      <w:r w:rsidRPr="00C817E7">
        <w:rPr>
          <w:rFonts w:ascii="Times New Roman" w:hAnsi="Times New Roman" w:cs="Times New Roman"/>
          <w:sz w:val="28"/>
          <w:szCs w:val="28"/>
        </w:rPr>
        <w:br/>
        <w:t>    </w:t>
      </w:r>
      <w:r>
        <w:rPr>
          <w:rFonts w:ascii="Times New Roman" w:hAnsi="Times New Roman" w:cs="Times New Roman"/>
          <w:sz w:val="28"/>
          <w:szCs w:val="28"/>
        </w:rPr>
        <w:tab/>
      </w:r>
      <w:r w:rsidRPr="00C817E7">
        <w:rPr>
          <w:rFonts w:ascii="Times New Roman" w:hAnsi="Times New Roman" w:cs="Times New Roman"/>
          <w:sz w:val="28"/>
          <w:szCs w:val="28"/>
        </w:rPr>
        <w:t> Згідно з п. 167.1 ст. 167 ПКУ ставка податку становить 18 відс</w:t>
      </w:r>
      <w:r>
        <w:rPr>
          <w:rFonts w:ascii="Times New Roman" w:hAnsi="Times New Roman" w:cs="Times New Roman"/>
          <w:sz w:val="28"/>
          <w:szCs w:val="28"/>
        </w:rPr>
        <w:t>отків</w:t>
      </w:r>
      <w:r w:rsidRPr="00C817E7">
        <w:rPr>
          <w:rFonts w:ascii="Times New Roman" w:hAnsi="Times New Roman" w:cs="Times New Roman"/>
          <w:sz w:val="28"/>
          <w:szCs w:val="28"/>
        </w:rPr>
        <w:t xml:space="preserve"> бази оподаткування щодо доходів, нарахованих (виплачених, наданих) (крім випадків, визначених у </w:t>
      </w:r>
      <w:proofErr w:type="spellStart"/>
      <w:r w:rsidRPr="00C817E7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C817E7">
        <w:rPr>
          <w:rFonts w:ascii="Times New Roman" w:hAnsi="Times New Roman" w:cs="Times New Roman"/>
          <w:sz w:val="28"/>
          <w:szCs w:val="28"/>
        </w:rPr>
        <w:t>. 167.2 - 167.5 ст. 167 ПКУ) у тому числі, але не виключно у формі: заробітної плати, інших заохочувальних та компенсаційних виплат або інших виплат і винагород, які нараховуються (виплачуються, надаються) платнику у зв’язку з трудовими відносинами та за цивільно-правовими договорами.</w:t>
      </w:r>
    </w:p>
    <w:p w:rsidR="00B87981" w:rsidRPr="00C817E7" w:rsidRDefault="00C817E7" w:rsidP="00C817E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7E7">
        <w:rPr>
          <w:rFonts w:ascii="Times New Roman" w:hAnsi="Times New Roman" w:cs="Times New Roman"/>
          <w:sz w:val="28"/>
          <w:szCs w:val="28"/>
        </w:rPr>
        <w:t xml:space="preserve">Пунктом 174.3 ст.174 ПКУ передбачено, що особами, відповідальними за сплату (перерахування) податку до бюджету, є спадкоємці, які отримали спадщину. </w:t>
      </w:r>
      <w:r w:rsidRPr="00C817E7">
        <w:rPr>
          <w:rFonts w:ascii="Times New Roman" w:hAnsi="Times New Roman" w:cs="Times New Roman"/>
          <w:sz w:val="28"/>
          <w:szCs w:val="28"/>
        </w:rPr>
        <w:br/>
        <w:t>     </w:t>
      </w:r>
      <w:r>
        <w:rPr>
          <w:rFonts w:ascii="Times New Roman" w:hAnsi="Times New Roman" w:cs="Times New Roman"/>
          <w:sz w:val="28"/>
          <w:szCs w:val="28"/>
        </w:rPr>
        <w:tab/>
      </w:r>
      <w:r w:rsidRPr="00C817E7">
        <w:rPr>
          <w:rFonts w:ascii="Times New Roman" w:hAnsi="Times New Roman" w:cs="Times New Roman"/>
          <w:sz w:val="28"/>
          <w:szCs w:val="28"/>
        </w:rPr>
        <w:t xml:space="preserve">Дохід у вигляді вартості успадкованого майна (кошти, майно, майнові чи немайнові права) у межах, що підлягає оподаткуванню, і зазначається в річній податковій декларації про майновий стан і доходи, крім спадкоємців-нерезидентів, які зобов’язані сплатити податок до нотаріального оформлення об’єктів спадщини або в сільських населених пунктах - до оформлення уповноваженою на це посадовою особою відповідного органу місцевого самоврядування за місцем відкриття спадщини, та спадкоємців, які отримали у спадщину об’єкти, що оподатковуються за нульовою ставкою податку на доходи фізичних осіб, а також іншими спадкоємцями - резидентами, які сплатили податок до нотаріального оформлення об’єктів спадщини або в сільських населених пунктах - до оформлення уповноваженою на це посадовою особою відповідного органу місцевого самоврядування за місцем відкриття спадщини. </w:t>
      </w:r>
      <w:r w:rsidRPr="00C817E7">
        <w:rPr>
          <w:rFonts w:ascii="Times New Roman" w:hAnsi="Times New Roman" w:cs="Times New Roman"/>
          <w:sz w:val="28"/>
          <w:szCs w:val="28"/>
        </w:rPr>
        <w:br/>
      </w:r>
      <w:r w:rsidRPr="00C817E7">
        <w:rPr>
          <w:rFonts w:ascii="Times New Roman" w:hAnsi="Times New Roman" w:cs="Times New Roman"/>
          <w:sz w:val="28"/>
          <w:szCs w:val="28"/>
        </w:rPr>
        <w:lastRenderedPageBreak/>
        <w:t>     </w:t>
      </w:r>
      <w:r>
        <w:rPr>
          <w:rFonts w:ascii="Times New Roman" w:hAnsi="Times New Roman" w:cs="Times New Roman"/>
          <w:sz w:val="28"/>
          <w:szCs w:val="28"/>
        </w:rPr>
        <w:tab/>
      </w:r>
      <w:r w:rsidRPr="00C817E7">
        <w:rPr>
          <w:rFonts w:ascii="Times New Roman" w:hAnsi="Times New Roman" w:cs="Times New Roman"/>
          <w:sz w:val="28"/>
          <w:szCs w:val="28"/>
        </w:rPr>
        <w:t>Враховуючи вищевикладене, фізична особа - нерезидент, яка отримала спадщину (подарунок) від фізичної особи - резидента, зобов’язана сплатити податок на доходи фізичних осіб до нотаріального оформлення успадкованого (подарованого) об’єкта, або в сільських населених пунктах - до оформлення уповноваженою на це посадовою особою відповідного органу місцевого самоврядування за місцем відкриття спадщини, за ставкою податку на доходи фізичних осіб 18 відсотків.</w:t>
      </w:r>
    </w:p>
    <w:sectPr w:rsidR="00B87981" w:rsidRPr="00C817E7" w:rsidSect="00807E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7E7"/>
    <w:rsid w:val="000F01EE"/>
    <w:rsid w:val="00390D1D"/>
    <w:rsid w:val="00807E84"/>
    <w:rsid w:val="00B87981"/>
    <w:rsid w:val="00C8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1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2021-04-20T11:58:00Z</cp:lastPrinted>
  <dcterms:created xsi:type="dcterms:W3CDTF">2021-04-20T11:34:00Z</dcterms:created>
  <dcterms:modified xsi:type="dcterms:W3CDTF">2021-04-21T07:36:00Z</dcterms:modified>
</cp:coreProperties>
</file>