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70" w:rsidRDefault="001C1E70" w:rsidP="001C1E70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1E70" w:rsidRPr="000A7DA7" w:rsidRDefault="001C1E70" w:rsidP="001C1E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1C1E70" w:rsidRPr="00D07571" w:rsidRDefault="001C1E70" w:rsidP="001C1E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1C1E70" w:rsidRPr="00D07571" w:rsidRDefault="001C1E70" w:rsidP="001C1E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1C1E70" w:rsidRPr="000A7DA7" w:rsidRDefault="001C1E70" w:rsidP="001C1E70">
                      <w:pPr>
                        <w:rPr>
                          <w:sz w:val="32"/>
                          <w:szCs w:val="32"/>
                        </w:rPr>
                      </w:pPr>
                      <w:r w:rsidRPr="00E7256A">
                        <w:rPr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1C1E70" w:rsidRPr="00D07571" w:rsidRDefault="001C1E70" w:rsidP="001C1E70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1C1E70" w:rsidRPr="00D07571" w:rsidRDefault="001C1E70" w:rsidP="001C1E70">
                      <w:pPr>
                        <w:rPr>
                          <w:sz w:val="32"/>
                          <w:szCs w:val="32"/>
                        </w:rPr>
                      </w:pPr>
                      <w:r w:rsidRPr="00D07571">
                        <w:rPr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EF526FD" wp14:editId="0DE58F81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</w:p>
    <w:p w:rsidR="00864B0C" w:rsidRPr="001C1E70" w:rsidRDefault="001C1E70" w:rsidP="001C1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Внесення </w:t>
      </w:r>
      <w:r w:rsidRPr="001C1E70">
        <w:rPr>
          <w:b/>
          <w:sz w:val="28"/>
          <w:szCs w:val="28"/>
        </w:rPr>
        <w:t>змін до Реєстру платників єдиного податку</w:t>
      </w:r>
      <w:r w:rsidRPr="001C1E70">
        <w:rPr>
          <w:b/>
          <w:sz w:val="28"/>
          <w:szCs w:val="28"/>
        </w:rPr>
        <w:t xml:space="preserve"> </w:t>
      </w:r>
      <w:r w:rsidR="00864B0C" w:rsidRPr="001C1E70">
        <w:rPr>
          <w:b/>
          <w:sz w:val="28"/>
          <w:szCs w:val="28"/>
        </w:rPr>
        <w:t>ФОП щодо себе</w:t>
      </w:r>
    </w:p>
    <w:p w:rsidR="00864B0C" w:rsidRPr="00864B0C" w:rsidRDefault="00864B0C" w:rsidP="00864B0C">
      <w:pPr>
        <w:ind w:firstLine="709"/>
        <w:jc w:val="both"/>
        <w:rPr>
          <w:b/>
          <w:sz w:val="28"/>
          <w:szCs w:val="28"/>
        </w:rPr>
      </w:pPr>
    </w:p>
    <w:p w:rsidR="00864B0C" w:rsidRPr="00864B0C" w:rsidRDefault="001C1E70" w:rsidP="00864B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</w:t>
      </w:r>
      <w:r w:rsidR="00864B0C" w:rsidRPr="00864B0C">
        <w:rPr>
          <w:sz w:val="28"/>
          <w:szCs w:val="28"/>
        </w:rPr>
        <w:t xml:space="preserve">ДПС у </w:t>
      </w:r>
      <w:r w:rsidR="00864B0C">
        <w:rPr>
          <w:sz w:val="28"/>
          <w:szCs w:val="28"/>
        </w:rPr>
        <w:t>Черкаській</w:t>
      </w:r>
      <w:r w:rsidR="00864B0C" w:rsidRPr="00864B0C">
        <w:rPr>
          <w:sz w:val="28"/>
          <w:szCs w:val="28"/>
        </w:rPr>
        <w:t xml:space="preserve"> області </w:t>
      </w:r>
      <w:r w:rsidR="00864B0C">
        <w:rPr>
          <w:sz w:val="28"/>
          <w:szCs w:val="28"/>
        </w:rPr>
        <w:t>розповідає</w:t>
      </w:r>
      <w:r w:rsidR="00864B0C" w:rsidRPr="00864B0C">
        <w:rPr>
          <w:sz w:val="28"/>
          <w:szCs w:val="28"/>
        </w:rPr>
        <w:t>, що відповідно до п. 299.1 ПКУ реєстрація суб’єкта господарювання як платника єдиного податку здійснюється шляхом внесення відповідних записів до реєстру платників єдиного податку.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Згідно з п. 299.7 ПКУ до реєстру платників єдиного податку вносяться такі відомості про платника єдиного податку: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прізвище, ім’я, по батькові фізичної особи – підприємця, реєстраційний номер облікової картки платника податків або серія та номер паспорта (для фізичних осіб,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паспорті);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податкова адреса суб’єкта господарювання;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місце провадження господарської діяльності;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ставка єдиного податку та група платника податку;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дата (період) обрання або переходу на спрощену систему оподаткування;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дата реєстрації;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види господарської діяльності;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дата анулювання реєстрації.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Форма Заяви про застосування спрощеної системи оподаткування, затверджена наказом Мінфіну від 16.07.2019 р. №308 (далі – заява).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У разі зміни відомостей, передбачених </w:t>
      </w:r>
      <w:proofErr w:type="spellStart"/>
      <w:r w:rsidRPr="00864B0C">
        <w:rPr>
          <w:sz w:val="28"/>
          <w:szCs w:val="28"/>
        </w:rPr>
        <w:t>пп</w:t>
      </w:r>
      <w:proofErr w:type="spellEnd"/>
      <w:r w:rsidRPr="00864B0C">
        <w:rPr>
          <w:sz w:val="28"/>
          <w:szCs w:val="28"/>
        </w:rPr>
        <w:t>. 1 – 5 п. 299.7 ПКУ, вносяться зміни до реєстру платників єдиного податку в день подання платником відповідної заяви (п. 299.8 ПКУ).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У разі зміни прізвища, імені, по батькові фізичної особи – підприємця або серії та номера паспорта (для фізичних осіб, які через свої релігійні переконання в установленому порядку відмовилися від прийняття реєстраційного номера облікової картки платника податків) заява подається протягом місяця з дня виникнення таких змін (п. 298.4 ПКУ).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У разі зміни податкової адреси суб’єкта господарювання, місця провадження господарської діяльності, видів господарської діяльності заява подається платниками єдиного податку першої і другої груп не пізніше 20 числа місяця, наступного за місяцем, у якому відбулися такі зміни</w:t>
      </w:r>
      <w:r>
        <w:rPr>
          <w:sz w:val="28"/>
          <w:szCs w:val="28"/>
        </w:rPr>
        <w:t xml:space="preserve">                  </w:t>
      </w:r>
      <w:r w:rsidRPr="00864B0C">
        <w:rPr>
          <w:sz w:val="28"/>
          <w:szCs w:val="28"/>
        </w:rPr>
        <w:t xml:space="preserve"> (п. 298.5 ПКУ).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Згідно з абзацом першим п. 298.6 ПКУ у разі зміни податкової адреси суб’єкта господарювання, місця провадження господарської діяльності заява подається платниками єдиного податку третьої групи не пізніше останнього дня кварталу, в якому відбулися такі зміни.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lastRenderedPageBreak/>
        <w:t>З урахуванням положень п. 293.8 ПКУ та абзацу другого п. 298.6 ПКУ у разі зміни ставок та груп платників єдиного податку для внесення змін до реєстру платників єдиного податку подається відповідна заява з позначкою «Внесення змін», а саме: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платниками єдиного податку першої групи, які у календарному кварталі перевищили обсяг доходу, визначений для таких платників у п. 291.4 ПКУ, та з наступного календарного кварталу переходять на застосування ставки єдиного податку, визначеної для платників єдиного податку другої або третьої групи, – не пізніше 20 числа місяця, наступного за календарним кварталом, у якому допущено перевищення обсягу доходу;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платниками єдиного податку другої групи, які перевищили у податковому (звітному) періоді обсяг доходу, визначений для таких платників у п. 291.4 ПКУ, та з наступного податкового (звітного) кварталу переходять на застосування ставки єдиного податку, визначеної для платників єдиного податку третьої групи – не пізніше 20 числа місяця, наступного за календарним кварталом, у якому допущено перевищення обсягу доходу;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 xml:space="preserve">платником єдиного податку третьої групи, який обрав ставку єдиного податку в розмірі 5 </w:t>
      </w:r>
      <w:proofErr w:type="spellStart"/>
      <w:r w:rsidRPr="00864B0C">
        <w:rPr>
          <w:sz w:val="28"/>
          <w:szCs w:val="28"/>
        </w:rPr>
        <w:t>відс</w:t>
      </w:r>
      <w:proofErr w:type="spellEnd"/>
      <w:r w:rsidRPr="00864B0C">
        <w:rPr>
          <w:sz w:val="28"/>
          <w:szCs w:val="28"/>
        </w:rPr>
        <w:t xml:space="preserve">., у разі добровільної зміни ставки єдиного податку (3 </w:t>
      </w:r>
      <w:proofErr w:type="spellStart"/>
      <w:r w:rsidRPr="00864B0C">
        <w:rPr>
          <w:sz w:val="28"/>
          <w:szCs w:val="28"/>
        </w:rPr>
        <w:t>відс</w:t>
      </w:r>
      <w:proofErr w:type="spellEnd"/>
      <w:r w:rsidRPr="00864B0C">
        <w:rPr>
          <w:sz w:val="28"/>
          <w:szCs w:val="28"/>
        </w:rPr>
        <w:t xml:space="preserve">.) – не пізніше ніж за 10 календарних днів до початку календарного кварталу, в якому буде застосовуватися нова ставка, та реєстрації такого платника єдиного податку платником податку на додану вартість (далі – ПДВ) у порядку, встановленому </w:t>
      </w:r>
      <w:proofErr w:type="spellStart"/>
      <w:r w:rsidRPr="00864B0C">
        <w:rPr>
          <w:sz w:val="28"/>
          <w:szCs w:val="28"/>
        </w:rPr>
        <w:t>розд</w:t>
      </w:r>
      <w:proofErr w:type="spellEnd"/>
      <w:r w:rsidRPr="00864B0C">
        <w:rPr>
          <w:sz w:val="28"/>
          <w:szCs w:val="28"/>
        </w:rPr>
        <w:t>. V ПКУ;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 xml:space="preserve">платником єдиного податку, який змінює групу платників єдиного податку та реєструється платником ПДВ відповідно до </w:t>
      </w:r>
      <w:proofErr w:type="spellStart"/>
      <w:r w:rsidRPr="00864B0C">
        <w:rPr>
          <w:sz w:val="28"/>
          <w:szCs w:val="28"/>
        </w:rPr>
        <w:t>розд</w:t>
      </w:r>
      <w:proofErr w:type="spellEnd"/>
      <w:r w:rsidRPr="00864B0C">
        <w:rPr>
          <w:sz w:val="28"/>
          <w:szCs w:val="28"/>
        </w:rPr>
        <w:t>. V ПКУ – не пізніше ніж за 15 календарних днів до початку наступного календарного кварталу, в якому здійснено реєстрацію платником ПДВ;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 xml:space="preserve">платники єдиного податку третьої групи у разі анулювання реєстрації платника ПДВ у порядку, встановленому </w:t>
      </w:r>
      <w:proofErr w:type="spellStart"/>
      <w:r w:rsidRPr="00864B0C">
        <w:rPr>
          <w:sz w:val="28"/>
          <w:szCs w:val="28"/>
        </w:rPr>
        <w:t>розд</w:t>
      </w:r>
      <w:proofErr w:type="spellEnd"/>
      <w:r w:rsidRPr="00864B0C">
        <w:rPr>
          <w:sz w:val="28"/>
          <w:szCs w:val="28"/>
        </w:rPr>
        <w:t xml:space="preserve">. V ПКУ, та переходу на сплату єдиного податку за ставкою у розмірі 5 </w:t>
      </w:r>
      <w:proofErr w:type="spellStart"/>
      <w:r w:rsidRPr="00864B0C">
        <w:rPr>
          <w:sz w:val="28"/>
          <w:szCs w:val="28"/>
        </w:rPr>
        <w:t>відс</w:t>
      </w:r>
      <w:proofErr w:type="spellEnd"/>
      <w:r w:rsidRPr="00864B0C">
        <w:rPr>
          <w:sz w:val="28"/>
          <w:szCs w:val="28"/>
        </w:rPr>
        <w:t>. – не пізніше ніж за 15 календарних днів до початку наступного календарного кварталу, в якому здійснено анулювання реєстрації платником ПДВ.</w:t>
      </w:r>
    </w:p>
    <w:p w:rsidR="00864B0C" w:rsidRPr="00864B0C" w:rsidRDefault="00864B0C" w:rsidP="00864B0C">
      <w:pPr>
        <w:ind w:firstLine="709"/>
        <w:jc w:val="both"/>
        <w:rPr>
          <w:sz w:val="28"/>
          <w:szCs w:val="28"/>
        </w:rPr>
      </w:pPr>
      <w:r w:rsidRPr="00864B0C">
        <w:rPr>
          <w:sz w:val="28"/>
          <w:szCs w:val="28"/>
        </w:rPr>
        <w:t>За бажанням зареєстрований платник єдиного податку може безоплатно та безумовно у контролюючому органі за місцем податкової адреси отримати (у тому числі в електронному вигляді) витяг з реєстру платників єдиного податку (п. 299.9 ПКУ)</w:t>
      </w:r>
    </w:p>
    <w:p w:rsidR="00DD58B4" w:rsidRDefault="00DD58B4" w:rsidP="00502D7A">
      <w:pPr>
        <w:ind w:firstLine="709"/>
        <w:jc w:val="both"/>
        <w:rPr>
          <w:sz w:val="28"/>
          <w:szCs w:val="28"/>
          <w:lang w:val="en-US"/>
        </w:rPr>
      </w:pPr>
    </w:p>
    <w:p w:rsidR="001C1E70" w:rsidRDefault="001C1E70" w:rsidP="00502D7A">
      <w:pPr>
        <w:ind w:firstLine="709"/>
        <w:jc w:val="both"/>
        <w:rPr>
          <w:sz w:val="28"/>
          <w:szCs w:val="28"/>
        </w:rPr>
      </w:pPr>
    </w:p>
    <w:p w:rsidR="001C1E70" w:rsidRDefault="001C1E70" w:rsidP="00502D7A">
      <w:pPr>
        <w:ind w:firstLine="709"/>
        <w:jc w:val="both"/>
        <w:rPr>
          <w:sz w:val="28"/>
          <w:szCs w:val="28"/>
        </w:rPr>
      </w:pPr>
    </w:p>
    <w:p w:rsidR="001C1E70" w:rsidRDefault="001C1E70" w:rsidP="00502D7A">
      <w:pPr>
        <w:ind w:firstLine="709"/>
        <w:jc w:val="both"/>
        <w:rPr>
          <w:sz w:val="28"/>
          <w:szCs w:val="28"/>
        </w:rPr>
      </w:pPr>
    </w:p>
    <w:p w:rsidR="001C1E70" w:rsidRPr="001C1E70" w:rsidRDefault="001C1E70" w:rsidP="00502D7A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1C1E70" w:rsidRDefault="001C1E70" w:rsidP="00502D7A">
      <w:pPr>
        <w:ind w:firstLine="709"/>
        <w:jc w:val="both"/>
        <w:rPr>
          <w:sz w:val="28"/>
          <w:szCs w:val="28"/>
          <w:lang w:val="en-US"/>
        </w:rPr>
      </w:pPr>
    </w:p>
    <w:p w:rsidR="001C1E70" w:rsidRDefault="001C1E70" w:rsidP="00502D7A">
      <w:pPr>
        <w:ind w:firstLine="709"/>
        <w:jc w:val="both"/>
        <w:rPr>
          <w:sz w:val="28"/>
          <w:szCs w:val="28"/>
          <w:lang w:val="en-US"/>
        </w:rPr>
      </w:pPr>
    </w:p>
    <w:p w:rsidR="001C1E70" w:rsidRPr="00D07571" w:rsidRDefault="001C1E70" w:rsidP="001C1E70">
      <w:pPr>
        <w:rPr>
          <w:rFonts w:eastAsia="Calibri"/>
        </w:rPr>
      </w:pPr>
      <w:r w:rsidRPr="00D07571">
        <w:rPr>
          <w:rFonts w:eastAsia="Calibri"/>
        </w:rPr>
        <w:t>18002,</w:t>
      </w:r>
      <w:r>
        <w:rPr>
          <w:rFonts w:eastAsia="Calibri"/>
        </w:rPr>
        <w:t xml:space="preserve"> </w:t>
      </w:r>
      <w:r w:rsidRPr="00D07571">
        <w:rPr>
          <w:rFonts w:eastAsia="Calibri"/>
        </w:rPr>
        <w:t>м. Черкаси,</w:t>
      </w:r>
      <w:r>
        <w:rPr>
          <w:rFonts w:eastAsia="Calibri"/>
        </w:rPr>
        <w:t xml:space="preserve"> </w:t>
      </w:r>
      <w:r w:rsidRPr="00D07571">
        <w:rPr>
          <w:rFonts w:eastAsia="Calibri"/>
        </w:rPr>
        <w:t>вул. Хрещатик,235</w:t>
      </w:r>
      <w:r>
        <w:rPr>
          <w:rFonts w:eastAsia="Calibri"/>
        </w:rPr>
        <w:t xml:space="preserve">                                           </w:t>
      </w:r>
      <w:r w:rsidRPr="00EE211E">
        <w:rPr>
          <w:rFonts w:eastAsia="Calibri"/>
          <w:lang w:val="en-US"/>
        </w:rPr>
        <w:t>e</w:t>
      </w:r>
      <w:r w:rsidRPr="00D07571">
        <w:rPr>
          <w:rFonts w:eastAsia="Calibri"/>
        </w:rPr>
        <w:t>-</w:t>
      </w:r>
      <w:r w:rsidRPr="00EE211E">
        <w:rPr>
          <w:rFonts w:eastAsia="Calibri"/>
          <w:lang w:val="en-US"/>
        </w:rPr>
        <w:t>mail</w:t>
      </w:r>
      <w:r w:rsidRPr="00D07571">
        <w:rPr>
          <w:rFonts w:eastAsia="Calibri"/>
        </w:rPr>
        <w:t xml:space="preserve">: </w:t>
      </w:r>
      <w:hyperlink r:id="rId8" w:history="1">
        <w:r w:rsidRPr="00EE211E">
          <w:rPr>
            <w:rFonts w:eastAsia="Calibri"/>
            <w:color w:val="0000FF"/>
            <w:u w:val="single"/>
            <w:lang w:val="en-US"/>
          </w:rPr>
          <w:t>ck</w:t>
        </w:r>
        <w:r w:rsidRPr="00D07571">
          <w:rPr>
            <w:rFonts w:eastAsia="Calibri"/>
            <w:color w:val="0000FF"/>
            <w:u w:val="single"/>
          </w:rPr>
          <w:t>.</w:t>
        </w:r>
        <w:r w:rsidRPr="00EE211E">
          <w:rPr>
            <w:rFonts w:eastAsia="Calibri"/>
            <w:color w:val="0000FF"/>
            <w:u w:val="single"/>
            <w:lang w:val="en-US"/>
          </w:rPr>
          <w:t>zmi</w:t>
        </w:r>
        <w:r w:rsidRPr="00D07571">
          <w:rPr>
            <w:rFonts w:eastAsia="Calibri"/>
            <w:color w:val="0000FF"/>
            <w:u w:val="single"/>
          </w:rPr>
          <w:t>@</w:t>
        </w:r>
        <w:r w:rsidRPr="00EE211E">
          <w:rPr>
            <w:rFonts w:eastAsia="Calibri"/>
            <w:color w:val="0000FF"/>
            <w:u w:val="single"/>
            <w:lang w:val="en-US"/>
          </w:rPr>
          <w:t>tax</w:t>
        </w:r>
        <w:r w:rsidRPr="00D07571">
          <w:rPr>
            <w:rFonts w:eastAsia="Calibri"/>
            <w:color w:val="0000FF"/>
            <w:u w:val="single"/>
          </w:rPr>
          <w:t>.</w:t>
        </w:r>
        <w:r w:rsidRPr="00EE211E">
          <w:rPr>
            <w:rFonts w:eastAsia="Calibri"/>
            <w:color w:val="0000FF"/>
            <w:u w:val="single"/>
            <w:lang w:val="en-US"/>
          </w:rPr>
          <w:t>gov</w:t>
        </w:r>
        <w:r w:rsidRPr="00D07571">
          <w:rPr>
            <w:rFonts w:eastAsia="Calibri"/>
            <w:color w:val="0000FF"/>
            <w:u w:val="single"/>
          </w:rPr>
          <w:t>.</w:t>
        </w:r>
        <w:proofErr w:type="spellStart"/>
        <w:r w:rsidRPr="00EE211E">
          <w:rPr>
            <w:rFonts w:eastAsia="Calibri"/>
            <w:color w:val="0000FF"/>
            <w:u w:val="single"/>
            <w:lang w:val="en-US"/>
          </w:rPr>
          <w:t>ua</w:t>
        </w:r>
        <w:proofErr w:type="spellEnd"/>
      </w:hyperlink>
    </w:p>
    <w:p w:rsidR="001C1E70" w:rsidRPr="00A9309E" w:rsidRDefault="001C1E70" w:rsidP="001C1E70">
      <w:proofErr w:type="spellStart"/>
      <w:r w:rsidRPr="00974D3D">
        <w:rPr>
          <w:rFonts w:eastAsia="Calibri"/>
        </w:rPr>
        <w:t>тел</w:t>
      </w:r>
      <w:proofErr w:type="spellEnd"/>
      <w:r w:rsidRPr="00974D3D">
        <w:rPr>
          <w:rFonts w:eastAsia="Calibri"/>
        </w:rPr>
        <w:t>.(0472) 33-91-34</w:t>
      </w:r>
      <w:r>
        <w:rPr>
          <w:rFonts w:eastAsia="Calibri"/>
        </w:rPr>
        <w:t xml:space="preserve">                                                                       </w:t>
      </w:r>
      <w:r w:rsidRPr="00A9309E">
        <w:rPr>
          <w:rFonts w:eastAsia="Calibri"/>
        </w:rPr>
        <w:t xml:space="preserve">    </w:t>
      </w:r>
      <w:hyperlink r:id="rId9" w:history="1">
        <w:r w:rsidRPr="00A9309E">
          <w:rPr>
            <w:rStyle w:val="a5"/>
            <w:rFonts w:eastAsia="Calibri"/>
          </w:rPr>
          <w:t>https://ck.tax.gov.ua/</w:t>
        </w:r>
      </w:hyperlink>
    </w:p>
    <w:p w:rsidR="001C1E70" w:rsidRPr="001C1E70" w:rsidRDefault="001C1E70" w:rsidP="00502D7A">
      <w:pPr>
        <w:ind w:firstLine="709"/>
        <w:jc w:val="both"/>
        <w:rPr>
          <w:sz w:val="28"/>
          <w:szCs w:val="28"/>
        </w:rPr>
      </w:pPr>
    </w:p>
    <w:sectPr w:rsidR="001C1E70" w:rsidRPr="001C1E70" w:rsidSect="00864B0C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28D"/>
    <w:multiLevelType w:val="hybridMultilevel"/>
    <w:tmpl w:val="DE8EB1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57C99"/>
    <w:multiLevelType w:val="hybridMultilevel"/>
    <w:tmpl w:val="B0FA1ACE"/>
    <w:lvl w:ilvl="0" w:tplc="842ABF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7C7D0B"/>
    <w:multiLevelType w:val="hybridMultilevel"/>
    <w:tmpl w:val="A2727F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A022E"/>
    <w:multiLevelType w:val="hybridMultilevel"/>
    <w:tmpl w:val="3EEE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A0BC7"/>
    <w:multiLevelType w:val="hybridMultilevel"/>
    <w:tmpl w:val="AA0E5E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029D5"/>
    <w:multiLevelType w:val="hybridMultilevel"/>
    <w:tmpl w:val="30C4295C"/>
    <w:lvl w:ilvl="0" w:tplc="8998371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F350914"/>
    <w:multiLevelType w:val="hybridMultilevel"/>
    <w:tmpl w:val="EE2251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4143F"/>
    <w:multiLevelType w:val="hybridMultilevel"/>
    <w:tmpl w:val="3FA87A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E1A51"/>
    <w:multiLevelType w:val="hybridMultilevel"/>
    <w:tmpl w:val="9DC61E9C"/>
    <w:lvl w:ilvl="0" w:tplc="7D12C00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B315A6"/>
    <w:multiLevelType w:val="hybridMultilevel"/>
    <w:tmpl w:val="822AF1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9708B"/>
    <w:multiLevelType w:val="hybridMultilevel"/>
    <w:tmpl w:val="19FAE4DC"/>
    <w:lvl w:ilvl="0" w:tplc="7BFAC86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1D77EE"/>
    <w:multiLevelType w:val="hybridMultilevel"/>
    <w:tmpl w:val="91EEED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82DE2"/>
    <w:multiLevelType w:val="hybridMultilevel"/>
    <w:tmpl w:val="DD1ADB7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4F2897"/>
    <w:multiLevelType w:val="hybridMultilevel"/>
    <w:tmpl w:val="EA50AF9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B295BEF"/>
    <w:multiLevelType w:val="hybridMultilevel"/>
    <w:tmpl w:val="CE2849D2"/>
    <w:lvl w:ilvl="0" w:tplc="84821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3B"/>
    <w:rsid w:val="00004224"/>
    <w:rsid w:val="00022737"/>
    <w:rsid w:val="00030E13"/>
    <w:rsid w:val="00057C7A"/>
    <w:rsid w:val="000652BA"/>
    <w:rsid w:val="00072017"/>
    <w:rsid w:val="00094F9D"/>
    <w:rsid w:val="000A29DB"/>
    <w:rsid w:val="000F4681"/>
    <w:rsid w:val="00115BD1"/>
    <w:rsid w:val="00137CD8"/>
    <w:rsid w:val="001C0B97"/>
    <w:rsid w:val="001C0C1C"/>
    <w:rsid w:val="001C1E70"/>
    <w:rsid w:val="001D2E94"/>
    <w:rsid w:val="001E58DC"/>
    <w:rsid w:val="0023678A"/>
    <w:rsid w:val="00242223"/>
    <w:rsid w:val="00267683"/>
    <w:rsid w:val="00267E23"/>
    <w:rsid w:val="002800E9"/>
    <w:rsid w:val="00292538"/>
    <w:rsid w:val="00294DCF"/>
    <w:rsid w:val="002B17DD"/>
    <w:rsid w:val="002D3218"/>
    <w:rsid w:val="00302F6D"/>
    <w:rsid w:val="003077D8"/>
    <w:rsid w:val="00323AE4"/>
    <w:rsid w:val="003404EC"/>
    <w:rsid w:val="00371FDA"/>
    <w:rsid w:val="00374E47"/>
    <w:rsid w:val="003B1C9A"/>
    <w:rsid w:val="003D3EE6"/>
    <w:rsid w:val="004063DC"/>
    <w:rsid w:val="00441391"/>
    <w:rsid w:val="00443FDC"/>
    <w:rsid w:val="00456ADD"/>
    <w:rsid w:val="00475667"/>
    <w:rsid w:val="004933D7"/>
    <w:rsid w:val="004B5444"/>
    <w:rsid w:val="004C08E2"/>
    <w:rsid w:val="004C48DC"/>
    <w:rsid w:val="004E225F"/>
    <w:rsid w:val="004F4E85"/>
    <w:rsid w:val="004F76D2"/>
    <w:rsid w:val="00502D7A"/>
    <w:rsid w:val="005152BC"/>
    <w:rsid w:val="005442A6"/>
    <w:rsid w:val="00583DAA"/>
    <w:rsid w:val="005B6EA5"/>
    <w:rsid w:val="005C3D60"/>
    <w:rsid w:val="005C7D1C"/>
    <w:rsid w:val="005D11E0"/>
    <w:rsid w:val="005D6911"/>
    <w:rsid w:val="005E43F3"/>
    <w:rsid w:val="005E5974"/>
    <w:rsid w:val="005F5482"/>
    <w:rsid w:val="005F79D9"/>
    <w:rsid w:val="00642DC5"/>
    <w:rsid w:val="0066399A"/>
    <w:rsid w:val="006654F8"/>
    <w:rsid w:val="0068253B"/>
    <w:rsid w:val="006D01DB"/>
    <w:rsid w:val="006F186F"/>
    <w:rsid w:val="007166D6"/>
    <w:rsid w:val="00750DB6"/>
    <w:rsid w:val="007521F4"/>
    <w:rsid w:val="00756C22"/>
    <w:rsid w:val="00772FC8"/>
    <w:rsid w:val="00793716"/>
    <w:rsid w:val="007A3D7F"/>
    <w:rsid w:val="007B1709"/>
    <w:rsid w:val="007C4421"/>
    <w:rsid w:val="007C5B0A"/>
    <w:rsid w:val="007F6E8B"/>
    <w:rsid w:val="0080093B"/>
    <w:rsid w:val="00805F40"/>
    <w:rsid w:val="00815ED7"/>
    <w:rsid w:val="00835311"/>
    <w:rsid w:val="00864B0C"/>
    <w:rsid w:val="008750E0"/>
    <w:rsid w:val="0089702A"/>
    <w:rsid w:val="008C16B7"/>
    <w:rsid w:val="00905F14"/>
    <w:rsid w:val="009110E2"/>
    <w:rsid w:val="00947CC2"/>
    <w:rsid w:val="00977953"/>
    <w:rsid w:val="00981E50"/>
    <w:rsid w:val="009906C6"/>
    <w:rsid w:val="009A448E"/>
    <w:rsid w:val="009E272B"/>
    <w:rsid w:val="009F03CB"/>
    <w:rsid w:val="00A100CB"/>
    <w:rsid w:val="00A34BBD"/>
    <w:rsid w:val="00A34E20"/>
    <w:rsid w:val="00A66A41"/>
    <w:rsid w:val="00A91AD5"/>
    <w:rsid w:val="00A95269"/>
    <w:rsid w:val="00A97A53"/>
    <w:rsid w:val="00AD424D"/>
    <w:rsid w:val="00AD6F61"/>
    <w:rsid w:val="00B23BDB"/>
    <w:rsid w:val="00B47450"/>
    <w:rsid w:val="00B549CB"/>
    <w:rsid w:val="00B57435"/>
    <w:rsid w:val="00B64451"/>
    <w:rsid w:val="00B847F2"/>
    <w:rsid w:val="00BA4FF3"/>
    <w:rsid w:val="00BC1478"/>
    <w:rsid w:val="00BF1C2D"/>
    <w:rsid w:val="00C1684C"/>
    <w:rsid w:val="00C277C2"/>
    <w:rsid w:val="00C34ABD"/>
    <w:rsid w:val="00C66BC1"/>
    <w:rsid w:val="00C77A43"/>
    <w:rsid w:val="00C8624C"/>
    <w:rsid w:val="00CA0530"/>
    <w:rsid w:val="00CB496F"/>
    <w:rsid w:val="00CB7CEF"/>
    <w:rsid w:val="00CD36AE"/>
    <w:rsid w:val="00CE406B"/>
    <w:rsid w:val="00CF5A81"/>
    <w:rsid w:val="00D7086E"/>
    <w:rsid w:val="00D81203"/>
    <w:rsid w:val="00D976C9"/>
    <w:rsid w:val="00DA0D64"/>
    <w:rsid w:val="00DD58B4"/>
    <w:rsid w:val="00E10D6E"/>
    <w:rsid w:val="00E50188"/>
    <w:rsid w:val="00E74A9A"/>
    <w:rsid w:val="00E907A6"/>
    <w:rsid w:val="00E931E4"/>
    <w:rsid w:val="00EC7C93"/>
    <w:rsid w:val="00EE62B8"/>
    <w:rsid w:val="00EF650D"/>
    <w:rsid w:val="00F26438"/>
    <w:rsid w:val="00F354C2"/>
    <w:rsid w:val="00F40B14"/>
    <w:rsid w:val="00F434D0"/>
    <w:rsid w:val="00F4358F"/>
    <w:rsid w:val="00F51554"/>
    <w:rsid w:val="00F52A32"/>
    <w:rsid w:val="00F670A8"/>
    <w:rsid w:val="00F67658"/>
    <w:rsid w:val="00FA5AB1"/>
    <w:rsid w:val="00FB4DFF"/>
    <w:rsid w:val="00FC6587"/>
    <w:rsid w:val="00FD641F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F434D0"/>
  </w:style>
  <w:style w:type="paragraph" w:styleId="a3">
    <w:name w:val="Balloon Text"/>
    <w:basedOn w:val="a"/>
    <w:link w:val="a4"/>
    <w:uiPriority w:val="99"/>
    <w:semiHidden/>
    <w:unhideWhenUsed/>
    <w:rsid w:val="004C08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E2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Hyperlink"/>
    <w:basedOn w:val="a0"/>
    <w:uiPriority w:val="99"/>
    <w:unhideWhenUsed/>
    <w:rsid w:val="00A100CB"/>
    <w:rPr>
      <w:color w:val="0000FF"/>
      <w:u w:val="single"/>
    </w:rPr>
  </w:style>
  <w:style w:type="table" w:styleId="a6">
    <w:name w:val="Table Grid"/>
    <w:basedOn w:val="a1"/>
    <w:uiPriority w:val="59"/>
    <w:rsid w:val="0030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D1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F434D0"/>
  </w:style>
  <w:style w:type="paragraph" w:styleId="a3">
    <w:name w:val="Balloon Text"/>
    <w:basedOn w:val="a"/>
    <w:link w:val="a4"/>
    <w:uiPriority w:val="99"/>
    <w:semiHidden/>
    <w:unhideWhenUsed/>
    <w:rsid w:val="004C08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E2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Hyperlink"/>
    <w:basedOn w:val="a0"/>
    <w:uiPriority w:val="99"/>
    <w:unhideWhenUsed/>
    <w:rsid w:val="00A100CB"/>
    <w:rPr>
      <w:color w:val="0000FF"/>
      <w:u w:val="single"/>
    </w:rPr>
  </w:style>
  <w:style w:type="table" w:styleId="a6">
    <w:name w:val="Table Grid"/>
    <w:basedOn w:val="a1"/>
    <w:uiPriority w:val="59"/>
    <w:rsid w:val="0030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D1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1F8E-34BD-498F-BF63-DF5B875B9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3089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 Т. І.</dc:creator>
  <cp:lastModifiedBy>user</cp:lastModifiedBy>
  <cp:revision>2</cp:revision>
  <cp:lastPrinted>2021-06-10T06:27:00Z</cp:lastPrinted>
  <dcterms:created xsi:type="dcterms:W3CDTF">2021-06-29T12:07:00Z</dcterms:created>
  <dcterms:modified xsi:type="dcterms:W3CDTF">2021-06-29T12:07:00Z</dcterms:modified>
</cp:coreProperties>
</file>