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A55A37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A5212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A52127" w:rsidRPr="00A52127" w:rsidRDefault="00CC2B68" w:rsidP="00A5212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Роз’яснення щодо</w:t>
      </w:r>
      <w:r w:rsidR="00A52127" w:rsidRPr="00A52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об’єкт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у</w:t>
      </w:r>
      <w:r w:rsidR="00A52127" w:rsidRPr="00A521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оподаткування податком на нерухоме майно, відмінне від земельної ділянки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Головне управління ДПС у Черкаській області повідомляє, що відповідно до 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266.1.1 п. 266.1 ст. 266 Податкового кодексу України від 02 грудня 2010 року № 2755-VI із змінами та доповненнями (далі – ПКУ) платниками податку на нерухоме майно, відмінне від земельної ділянки, є фізичні та юридичні особи, в тому числі нерезиденти, які є власниками житлової та/або нежитлової нерухомості.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Об’єктом оподаткування податком на нерухоме майно, відмінне від земельної ділянки, є об’єкт житлової та нежитлової нерухомості, в тому числі його частка (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266.2.1 п. 266.2 ст. 266 ПКУ).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зокрема, документів на право власності (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266.3.2 п. 266.3 ст. 266 ПКУ).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з загальної площі кожного окремого об’єкта оподаткування на підставі документів, що підтверджують право власності на такий об’єкт (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266.3.3 п. 266.3 ст. 266 ПКУ).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14.1.129 прим. 1 п. 14.1 ст. 14 ПКУ у нежитловій нерухомості виділяють, зокрема, будівлі офісні (будівлі фінансового обслуговування, адміністративно-побутові будівлі, будівлі для конторських та адміністративних цілей), будівлі промислові та склади.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Підпунктом «є» 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266.2.2 п. 266.2 ст. 266 ПКУ визначено перелік об’єктів нерухомості, які не є об’єктом оподаткування, до яких входять будівлі промисловості, віднесені до групи «Будівлі промислові та склади» (код 125) Державного класифікатора будівель та споруд ДК 018-2000, затвердженого наказом Державного комітету України по стандартизації, </w:t>
      </w: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метрології та сертифікації від 17.08.2000 № 507 (далі – Класифікатор), що використовуються за призначенням у господарській діяльності суб’єктів господарювання, основна діяльність яких класифікується у секціях B – F КВЕД ДК 009:2010, затвердженого наказом Державного комітету України з питань технічного регулювання та споживчої політики від 29.11.2010 № 530, та не здаються їх власниками в оренду, лізинг, позичку.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Згідно з Класифікатором до групи «Будівлі промислові та склади» (код 125) належить клас «Будівлі промисловості» (код 1251), який включає будівлі промисловості, зокрема, виробничі корпуси, цехи, складські приміщення промислових підприємств тощо.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До групи «Будівлі офісні» (код 122) належать будівлі, що використовуються як приміщення для конторських та адміністративних цілей, в тому числі для промислових підприємств.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Тобто адміністративно-побутові (офісні) приміщення не підпадають під дію 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«є» </w:t>
      </w:r>
      <w:proofErr w:type="spellStart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п.п</w:t>
      </w:r>
      <w:proofErr w:type="spellEnd"/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. 266.2.2 п. 266.2 ст. 266 ПКУ.</w:t>
      </w:r>
    </w:p>
    <w:p w:rsidR="00A52127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Враховуючи зазначене, будівлі що використовуються як адміністративно-побутові, для конторських та адміністративних цілей (офісні), в тому числі для промислових підприємств, є об’єктом оподаткування податком на нерухоме майно, відмінне від земельної ділянки, з врахуванням рішень сільських, селищних, міських рад та рад об’єднаних територіальних громад, що створені згідно із законом та перспективним планом формування територій громад.</w:t>
      </w:r>
    </w:p>
    <w:p w:rsidR="00D07571" w:rsidRPr="00A52127" w:rsidRDefault="00A52127" w:rsidP="00A5212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127">
        <w:rPr>
          <w:rFonts w:ascii="Times New Roman" w:eastAsia="Calibri" w:hAnsi="Times New Roman" w:cs="Times New Roman"/>
          <w:sz w:val="28"/>
          <w:szCs w:val="28"/>
          <w:lang w:val="uk-UA"/>
        </w:rPr>
        <w:t>Водночас, визначення належності об’єкта нежитлової нерухомості (будівлі, приміщення) до того чи іншого класу будівель проводиться на підставі документів, що підтверджують їх право власності з врахуванням класифікаційних ознак та функціонального призначення такого об’єкта нерухомості згідно з Класифікатором, ведення якого здійснює Державний науково-дослідний інститут автоматизованих систем у будівництві Міністерства розвитку громад та територій України.</w:t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Pr="00A55A37" w:rsidRDefault="00D07571"/>
    <w:p w:rsidR="00A55A37" w:rsidRDefault="00A55A37">
      <w:pPr>
        <w:rPr>
          <w:lang w:val="en-US"/>
        </w:rPr>
      </w:pPr>
    </w:p>
    <w:p w:rsidR="00A55A37" w:rsidRPr="00A55A37" w:rsidRDefault="00A55A37">
      <w:pPr>
        <w:rPr>
          <w:lang w:val="en-US"/>
        </w:rPr>
      </w:pPr>
      <w:bookmarkStart w:id="0" w:name="_GoBack"/>
      <w:bookmarkEnd w:id="0"/>
    </w:p>
    <w:p w:rsidR="00D07571" w:rsidRDefault="00D07571">
      <w:pPr>
        <w:rPr>
          <w:lang w:val="uk-UA"/>
        </w:rPr>
      </w:pPr>
    </w:p>
    <w:p w:rsidR="00A52127" w:rsidRPr="00D07571" w:rsidRDefault="00A52127" w:rsidP="00A52127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</w:t>
      </w:r>
      <w:r w:rsidRPr="008940AB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 w:rsidRPr="00A5212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A52127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A5212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A5212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A5212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A5212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A52127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D07571" w:rsidRDefault="00A52127" w:rsidP="008940AB">
      <w:pPr>
        <w:spacing w:after="0"/>
        <w:rPr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 w:rsidRPr="00A5212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D07571" w:rsidSect="009722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A7DA7"/>
    <w:rsid w:val="002209F3"/>
    <w:rsid w:val="002A0731"/>
    <w:rsid w:val="0042694C"/>
    <w:rsid w:val="005504EF"/>
    <w:rsid w:val="008940AB"/>
    <w:rsid w:val="0097221F"/>
    <w:rsid w:val="00A52127"/>
    <w:rsid w:val="00A55A37"/>
    <w:rsid w:val="00A9309E"/>
    <w:rsid w:val="00BA12B7"/>
    <w:rsid w:val="00CC2B68"/>
    <w:rsid w:val="00CD0DBB"/>
    <w:rsid w:val="00D0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2743</Words>
  <Characters>1564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11</cp:revision>
  <dcterms:created xsi:type="dcterms:W3CDTF">2021-05-25T12:16:00Z</dcterms:created>
  <dcterms:modified xsi:type="dcterms:W3CDTF">2021-06-04T06:01:00Z</dcterms:modified>
</cp:coreProperties>
</file>