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31" w:rsidRDefault="00356E07" w:rsidP="0097221F">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7DA7" w:rsidRPr="000A7DA7" w:rsidRDefault="000A7DA7" w:rsidP="00D07571">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0A7DA7" w:rsidRPr="000A7DA7" w:rsidRDefault="000A7DA7" w:rsidP="00D07571">
                      <w:pPr>
                        <w:spacing w:after="0"/>
                        <w:rPr>
                          <w:rFonts w:ascii="Times New Roman" w:hAnsi="Times New Roman" w:cs="Times New Roman"/>
                          <w:sz w:val="32"/>
                          <w:szCs w:val="32"/>
                          <w:lang w:val="uk-UA"/>
                        </w:rPr>
                      </w:pPr>
                      <w:r w:rsidRPr="00E7256A">
                        <w:rPr>
                          <w:rFonts w:ascii="Times New Roman" w:hAnsi="Times New Roman" w:cs="Times New Roman"/>
                          <w:sz w:val="32"/>
                          <w:szCs w:val="32"/>
                        </w:rPr>
                        <w:t>Державна податкова служба України</w:t>
                      </w:r>
                    </w:p>
                    <w:p w:rsidR="00D07571"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2209F3" w:rsidRPr="00D07571" w:rsidRDefault="00D07571" w:rsidP="00D07571">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sidR="00BA12B7">
        <w:rPr>
          <w:noProof/>
          <w:lang w:val="uk-UA" w:eastAsia="uk-UA"/>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E63F89" w:rsidRDefault="00E63F89" w:rsidP="00E63F89">
      <w:pPr>
        <w:pStyle w:val="a6"/>
        <w:ind w:left="0"/>
        <w:rPr>
          <w:rFonts w:asciiTheme="minorHAnsi" w:eastAsiaTheme="minorHAnsi" w:hAnsiTheme="minorHAnsi" w:cstheme="minorBidi"/>
          <w:sz w:val="22"/>
          <w:szCs w:val="22"/>
          <w:lang w:val="en-US" w:eastAsia="en-US"/>
        </w:rPr>
      </w:pPr>
    </w:p>
    <w:p w:rsidR="00356E07" w:rsidRPr="007E7AFD" w:rsidRDefault="00356E07" w:rsidP="00356E07">
      <w:pPr>
        <w:spacing w:after="0" w:line="240" w:lineRule="auto"/>
        <w:ind w:firstLine="708"/>
        <w:jc w:val="center"/>
        <w:rPr>
          <w:rFonts w:ascii="Times New Roman" w:hAnsi="Times New Roman" w:cs="Times New Roman"/>
          <w:b/>
          <w:sz w:val="28"/>
          <w:szCs w:val="28"/>
        </w:rPr>
      </w:pPr>
      <w:r w:rsidRPr="00356E07">
        <w:rPr>
          <w:rFonts w:ascii="Times New Roman" w:hAnsi="Times New Roman" w:cs="Times New Roman"/>
          <w:b/>
          <w:sz w:val="28"/>
          <w:szCs w:val="28"/>
          <w:lang w:val="uk-UA"/>
        </w:rPr>
        <w:t xml:space="preserve">Особливості відображення в декларації з податку на прибуток підприємств  окремих операцій, проведених під час перебування </w:t>
      </w:r>
    </w:p>
    <w:p w:rsidR="00356E07" w:rsidRPr="007E7AFD" w:rsidRDefault="00356E07" w:rsidP="00356E07">
      <w:pPr>
        <w:spacing w:after="0" w:line="240" w:lineRule="auto"/>
        <w:ind w:firstLine="708"/>
        <w:jc w:val="center"/>
        <w:rPr>
          <w:rFonts w:ascii="Times New Roman" w:hAnsi="Times New Roman" w:cs="Times New Roman"/>
          <w:b/>
          <w:sz w:val="28"/>
          <w:szCs w:val="28"/>
        </w:rPr>
      </w:pPr>
      <w:r w:rsidRPr="00356E07">
        <w:rPr>
          <w:rFonts w:ascii="Times New Roman" w:hAnsi="Times New Roman" w:cs="Times New Roman"/>
          <w:b/>
          <w:sz w:val="28"/>
          <w:szCs w:val="28"/>
          <w:lang w:val="uk-UA"/>
        </w:rPr>
        <w:t>на спрощеній системі оподаткування</w:t>
      </w:r>
    </w:p>
    <w:p w:rsidR="00356E07" w:rsidRPr="007E7AFD" w:rsidRDefault="00356E07" w:rsidP="00356E07">
      <w:pPr>
        <w:spacing w:after="0" w:line="240" w:lineRule="auto"/>
        <w:ind w:firstLine="708"/>
        <w:jc w:val="both"/>
        <w:rPr>
          <w:rFonts w:ascii="Times New Roman" w:hAnsi="Times New Roman" w:cs="Times New Roman"/>
          <w:sz w:val="28"/>
          <w:szCs w:val="28"/>
        </w:rPr>
      </w:pP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0" w:name="o248"/>
      <w:bookmarkEnd w:id="0"/>
      <w:r w:rsidRPr="00F82EAC">
        <w:rPr>
          <w:rFonts w:ascii="Times New Roman" w:eastAsia="Times New Roman" w:hAnsi="Times New Roman" w:cs="Times New Roman"/>
          <w:color w:val="212529"/>
          <w:sz w:val="28"/>
          <w:szCs w:val="28"/>
          <w:lang w:val="uk-UA" w:eastAsia="ru-RU"/>
        </w:rPr>
        <w:tab/>
      </w:r>
      <w:r w:rsidRPr="00A174C5">
        <w:rPr>
          <w:rFonts w:ascii="Times New Roman" w:hAnsi="Times New Roman" w:cs="Times New Roman"/>
          <w:sz w:val="28"/>
          <w:szCs w:val="28"/>
          <w:lang w:val="uk-UA"/>
        </w:rPr>
        <w:t xml:space="preserve">Порядок переходу платників податків зі спрощеної системи оподаткування на загальну регулюється ст. 298 Податкового кодексу України (далі - Кодекс). </w:t>
      </w:r>
      <w:bookmarkStart w:id="1" w:name="o258"/>
      <w:bookmarkEnd w:id="1"/>
      <w:r w:rsidRPr="00A174C5">
        <w:rPr>
          <w:rFonts w:ascii="Times New Roman" w:hAnsi="Times New Roman" w:cs="Times New Roman"/>
          <w:sz w:val="28"/>
          <w:szCs w:val="28"/>
          <w:lang w:val="uk-UA"/>
        </w:rPr>
        <w:t xml:space="preserve">Такий перехід може бути як добровільним, так і вимушеним.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ab/>
        <w:t>Для відмови від спрощеної системи оподаткування суб'єкт господарювання не пізніше ніж за 10 календарних днів до початку нового календарного кварталу (року) подає до контролюючого органу заяву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298.2.1 п. 298.2 ст.298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Платники єдиного податку можуть самостійно відмовитися від спрощеної системи оподаткування у зв'язку з переходом на сплату інших податків і зборів, визначених цим Кодексом, з першого числа місяця, наступного за податковим (звітним) кварталом, у якому подано заяву щодо відмови від спрощеної системи оподаткування у зв'язку з переходом на сплату інших податків і зборів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298.2.2 п. 298.2 ст.298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  У свою чергу </w:t>
      </w:r>
      <w:bookmarkStart w:id="2" w:name="o261"/>
      <w:bookmarkEnd w:id="2"/>
      <w:r w:rsidRPr="00A174C5">
        <w:rPr>
          <w:rFonts w:ascii="Times New Roman" w:hAnsi="Times New Roman" w:cs="Times New Roman"/>
          <w:sz w:val="28"/>
          <w:szCs w:val="28"/>
          <w:lang w:val="uk-UA"/>
        </w:rPr>
        <w:tab/>
        <w:t>обов’язок платника єдиного податку-юридичної особи перейти на сплату інших податків і зборів настає у наступних випадках:</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3" w:name="o262"/>
      <w:bookmarkStart w:id="4" w:name="o264"/>
      <w:bookmarkEnd w:id="3"/>
      <w:bookmarkEnd w:id="4"/>
      <w:r w:rsidRPr="00A174C5">
        <w:rPr>
          <w:rFonts w:ascii="Times New Roman" w:hAnsi="Times New Roman" w:cs="Times New Roman"/>
          <w:sz w:val="28"/>
          <w:szCs w:val="28"/>
          <w:lang w:val="uk-UA"/>
        </w:rPr>
        <w:t xml:space="preserve">     1) у разі перевищення протягом календарного року </w:t>
      </w:r>
      <w:r w:rsidRPr="00A174C5">
        <w:rPr>
          <w:rFonts w:ascii="Times New Roman" w:hAnsi="Times New Roman" w:cs="Times New Roman"/>
          <w:sz w:val="28"/>
          <w:szCs w:val="28"/>
          <w:lang w:val="uk-UA"/>
        </w:rPr>
        <w:br/>
        <w:t>встановленого обсягу доходу платниками єдиного податку третьої</w:t>
      </w:r>
      <w:r>
        <w:rPr>
          <w:rFonts w:ascii="Times New Roman" w:hAnsi="Times New Roman" w:cs="Times New Roman"/>
          <w:sz w:val="28"/>
          <w:szCs w:val="28"/>
          <w:lang w:val="uk-UA"/>
        </w:rPr>
        <w:t xml:space="preserve"> групи</w:t>
      </w:r>
      <w:r w:rsidRPr="00A174C5">
        <w:rPr>
          <w:rFonts w:ascii="Times New Roman" w:hAnsi="Times New Roman" w:cs="Times New Roman"/>
          <w:sz w:val="28"/>
          <w:szCs w:val="28"/>
          <w:lang w:val="uk-UA"/>
        </w:rPr>
        <w:t xml:space="preserve"> - з першого числа місяця, наступного за податковим </w:t>
      </w:r>
      <w:r w:rsidRPr="00A174C5">
        <w:rPr>
          <w:rFonts w:ascii="Times New Roman" w:hAnsi="Times New Roman" w:cs="Times New Roman"/>
          <w:sz w:val="28"/>
          <w:szCs w:val="28"/>
          <w:lang w:val="uk-UA"/>
        </w:rPr>
        <w:br/>
        <w:t xml:space="preserve">(звітним) кварталом, у якому відбулося таке перевищення ( </w:t>
      </w:r>
      <w:proofErr w:type="spellStart"/>
      <w:r w:rsidRPr="00A174C5">
        <w:rPr>
          <w:rFonts w:ascii="Times New Roman" w:hAnsi="Times New Roman" w:cs="Times New Roman"/>
          <w:sz w:val="28"/>
          <w:szCs w:val="28"/>
          <w:lang w:val="uk-UA"/>
        </w:rPr>
        <w:t>абз</w:t>
      </w:r>
      <w:proofErr w:type="spellEnd"/>
      <w:r w:rsidRPr="00A174C5">
        <w:rPr>
          <w:rFonts w:ascii="Times New Roman" w:hAnsi="Times New Roman" w:cs="Times New Roman"/>
          <w:sz w:val="28"/>
          <w:szCs w:val="28"/>
          <w:lang w:val="uk-UA"/>
        </w:rPr>
        <w:t xml:space="preserve">. 3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298.2.3 п. 298.2 ст. 298 Кодексу);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5" w:name="o265"/>
      <w:bookmarkEnd w:id="5"/>
      <w:r w:rsidRPr="00A174C5">
        <w:rPr>
          <w:rFonts w:ascii="Times New Roman" w:hAnsi="Times New Roman" w:cs="Times New Roman"/>
          <w:sz w:val="28"/>
          <w:szCs w:val="28"/>
          <w:lang w:val="uk-UA"/>
        </w:rPr>
        <w:t xml:space="preserve">     2) у разі застосування платником єдиного податку іншого </w:t>
      </w:r>
      <w:r w:rsidRPr="00A174C5">
        <w:rPr>
          <w:rFonts w:ascii="Times New Roman" w:hAnsi="Times New Roman" w:cs="Times New Roman"/>
          <w:sz w:val="28"/>
          <w:szCs w:val="28"/>
          <w:lang w:val="uk-UA"/>
        </w:rPr>
        <w:br/>
        <w:t xml:space="preserve">способу розрахунків, ніж зазначені у пункті 291.6 статті 291 цього </w:t>
      </w:r>
      <w:r w:rsidRPr="00A174C5">
        <w:rPr>
          <w:rFonts w:ascii="Times New Roman" w:hAnsi="Times New Roman" w:cs="Times New Roman"/>
          <w:sz w:val="28"/>
          <w:szCs w:val="28"/>
          <w:lang w:val="uk-UA"/>
        </w:rPr>
        <w:br/>
        <w:t xml:space="preserve">Кодексу, - з першого числа місяця, наступного за податковим </w:t>
      </w:r>
      <w:r w:rsidRPr="00A174C5">
        <w:rPr>
          <w:rFonts w:ascii="Times New Roman" w:hAnsi="Times New Roman" w:cs="Times New Roman"/>
          <w:sz w:val="28"/>
          <w:szCs w:val="28"/>
          <w:lang w:val="uk-UA"/>
        </w:rPr>
        <w:br/>
        <w:t xml:space="preserve">(звітним) періодом, у якому допущено такий спосіб розрахунків ( </w:t>
      </w:r>
      <w:proofErr w:type="spellStart"/>
      <w:r w:rsidRPr="00A174C5">
        <w:rPr>
          <w:rFonts w:ascii="Times New Roman" w:hAnsi="Times New Roman" w:cs="Times New Roman"/>
          <w:sz w:val="28"/>
          <w:szCs w:val="28"/>
          <w:lang w:val="uk-UA"/>
        </w:rPr>
        <w:t>абз</w:t>
      </w:r>
      <w:proofErr w:type="spellEnd"/>
      <w:r w:rsidRPr="00A174C5">
        <w:rPr>
          <w:rFonts w:ascii="Times New Roman" w:hAnsi="Times New Roman" w:cs="Times New Roman"/>
          <w:sz w:val="28"/>
          <w:szCs w:val="28"/>
          <w:lang w:val="uk-UA"/>
        </w:rPr>
        <w:t xml:space="preserve">. 4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298.2.3 п. 298.2 ст. 298 Кодексу);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6" w:name="o266"/>
      <w:bookmarkEnd w:id="6"/>
      <w:r w:rsidRPr="00F82EAC">
        <w:rPr>
          <w:rFonts w:ascii="Times New Roman" w:eastAsia="Times New Roman" w:hAnsi="Times New Roman" w:cs="Times New Roman"/>
          <w:sz w:val="26"/>
          <w:szCs w:val="26"/>
          <w:lang w:val="uk-UA" w:eastAsia="ru-RU"/>
        </w:rPr>
        <w:t xml:space="preserve">     </w:t>
      </w:r>
      <w:r w:rsidRPr="00BE5871">
        <w:rPr>
          <w:rFonts w:ascii="Times New Roman" w:hAnsi="Times New Roman" w:cs="Times New Roman"/>
          <w:sz w:val="28"/>
          <w:szCs w:val="28"/>
          <w:lang w:val="uk-UA"/>
        </w:rPr>
        <w:t xml:space="preserve">3) у разі здійснення видів діяльності, які не дають права </w:t>
      </w:r>
      <w:r w:rsidRPr="00BE5871">
        <w:rPr>
          <w:rFonts w:ascii="Times New Roman" w:hAnsi="Times New Roman" w:cs="Times New Roman"/>
          <w:sz w:val="28"/>
          <w:szCs w:val="28"/>
          <w:lang w:val="uk-UA"/>
        </w:rPr>
        <w:br/>
      </w:r>
      <w:r w:rsidRPr="00A174C5">
        <w:rPr>
          <w:rFonts w:ascii="Times New Roman" w:hAnsi="Times New Roman" w:cs="Times New Roman"/>
          <w:sz w:val="28"/>
          <w:szCs w:val="28"/>
          <w:lang w:val="uk-UA"/>
        </w:rPr>
        <w:t xml:space="preserve">застосовувати спрощену систему оподаткування, або невідповідності </w:t>
      </w:r>
      <w:r w:rsidRPr="00A174C5">
        <w:rPr>
          <w:rFonts w:ascii="Times New Roman" w:hAnsi="Times New Roman" w:cs="Times New Roman"/>
          <w:sz w:val="28"/>
          <w:szCs w:val="28"/>
          <w:lang w:val="uk-UA"/>
        </w:rPr>
        <w:br/>
        <w:t xml:space="preserve">вимогам організаційно-правових форм господарювання - з першого </w:t>
      </w:r>
      <w:r w:rsidRPr="00A174C5">
        <w:rPr>
          <w:rFonts w:ascii="Times New Roman" w:hAnsi="Times New Roman" w:cs="Times New Roman"/>
          <w:sz w:val="28"/>
          <w:szCs w:val="28"/>
          <w:lang w:val="uk-UA"/>
        </w:rPr>
        <w:br/>
        <w:t xml:space="preserve">числа місяця, наступного за податковим (звітним) періодом, у якому </w:t>
      </w:r>
      <w:r w:rsidRPr="00A174C5">
        <w:rPr>
          <w:rFonts w:ascii="Times New Roman" w:hAnsi="Times New Roman" w:cs="Times New Roman"/>
          <w:sz w:val="28"/>
          <w:szCs w:val="28"/>
          <w:lang w:val="uk-UA"/>
        </w:rPr>
        <w:br/>
        <w:t xml:space="preserve">здійснювалися такі види діяльності або відбулася зміна </w:t>
      </w:r>
      <w:r w:rsidRPr="00A174C5">
        <w:rPr>
          <w:rFonts w:ascii="Times New Roman" w:hAnsi="Times New Roman" w:cs="Times New Roman"/>
          <w:sz w:val="28"/>
          <w:szCs w:val="28"/>
          <w:lang w:val="uk-UA"/>
        </w:rPr>
        <w:br/>
        <w:t xml:space="preserve">організаційно-правової форми ( </w:t>
      </w:r>
      <w:proofErr w:type="spellStart"/>
      <w:r w:rsidRPr="00A174C5">
        <w:rPr>
          <w:rFonts w:ascii="Times New Roman" w:hAnsi="Times New Roman" w:cs="Times New Roman"/>
          <w:sz w:val="28"/>
          <w:szCs w:val="28"/>
          <w:lang w:val="uk-UA"/>
        </w:rPr>
        <w:t>абз</w:t>
      </w:r>
      <w:proofErr w:type="spellEnd"/>
      <w:r w:rsidRPr="00A174C5">
        <w:rPr>
          <w:rFonts w:ascii="Times New Roman" w:hAnsi="Times New Roman" w:cs="Times New Roman"/>
          <w:sz w:val="28"/>
          <w:szCs w:val="28"/>
          <w:lang w:val="uk-UA"/>
        </w:rPr>
        <w:t xml:space="preserve">. 5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298.2.3 п. 298.2 ст. 298 Кодексу);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7" w:name="o267"/>
      <w:bookmarkStart w:id="8" w:name="o268"/>
      <w:bookmarkEnd w:id="7"/>
      <w:bookmarkEnd w:id="8"/>
      <w:r w:rsidRPr="00A174C5">
        <w:rPr>
          <w:rFonts w:ascii="Times New Roman" w:hAnsi="Times New Roman" w:cs="Times New Roman"/>
          <w:sz w:val="28"/>
          <w:szCs w:val="28"/>
          <w:lang w:val="uk-UA"/>
        </w:rPr>
        <w:t xml:space="preserve">     4) у разі здійснення видів діяльності, не зазначених у реєстрі платників єдиного податку, - з першого числа місяця, наступного за податковим (звітним) періодом, у якому здійснювалися такі види діяльності ( </w:t>
      </w:r>
      <w:proofErr w:type="spellStart"/>
      <w:r w:rsidRPr="00A174C5">
        <w:rPr>
          <w:rFonts w:ascii="Times New Roman" w:hAnsi="Times New Roman" w:cs="Times New Roman"/>
          <w:sz w:val="28"/>
          <w:szCs w:val="28"/>
          <w:lang w:val="uk-UA"/>
        </w:rPr>
        <w:t>абз</w:t>
      </w:r>
      <w:proofErr w:type="spellEnd"/>
      <w:r w:rsidRPr="00A174C5">
        <w:rPr>
          <w:rFonts w:ascii="Times New Roman" w:hAnsi="Times New Roman" w:cs="Times New Roman"/>
          <w:sz w:val="28"/>
          <w:szCs w:val="28"/>
          <w:lang w:val="uk-UA"/>
        </w:rPr>
        <w:t xml:space="preserve">. 7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298.2.3 п. 298.2 ст. 298 Кодексу);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9" w:name="o269"/>
      <w:bookmarkEnd w:id="9"/>
      <w:r w:rsidRPr="00A174C5">
        <w:rPr>
          <w:rFonts w:ascii="Times New Roman" w:hAnsi="Times New Roman" w:cs="Times New Roman"/>
          <w:sz w:val="28"/>
          <w:szCs w:val="28"/>
          <w:lang w:val="uk-UA"/>
        </w:rPr>
        <w:lastRenderedPageBreak/>
        <w:t xml:space="preserve">     5) у разі наявності податкового боргу у розмірі, що перевищує суму, визначену абзацом третім пункту 59.1 статті 59 цього Кодексу, на кожне перше число місяця протягом двох послідовних кварталів - в останній день другого із двох послідовних кварталів ( </w:t>
      </w:r>
      <w:proofErr w:type="spellStart"/>
      <w:r w:rsidRPr="00A174C5">
        <w:rPr>
          <w:rFonts w:ascii="Times New Roman" w:hAnsi="Times New Roman" w:cs="Times New Roman"/>
          <w:sz w:val="28"/>
          <w:szCs w:val="28"/>
          <w:lang w:val="uk-UA"/>
        </w:rPr>
        <w:t>абз</w:t>
      </w:r>
      <w:proofErr w:type="spellEnd"/>
      <w:r w:rsidRPr="00A174C5">
        <w:rPr>
          <w:rFonts w:ascii="Times New Roman" w:hAnsi="Times New Roman" w:cs="Times New Roman"/>
          <w:sz w:val="28"/>
          <w:szCs w:val="28"/>
          <w:lang w:val="uk-UA"/>
        </w:rPr>
        <w:t xml:space="preserve">. 8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298.2.3 п. 298.2 ст. 298 Кодексу).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bookmarkStart w:id="10" w:name="o270"/>
      <w:bookmarkEnd w:id="10"/>
      <w:r w:rsidRPr="00A174C5">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При переході зі спрощеної системи оподаткування на загальну існують певні </w:t>
      </w:r>
      <w:r>
        <w:rPr>
          <w:rFonts w:ascii="Times New Roman" w:hAnsi="Times New Roman" w:cs="Times New Roman"/>
          <w:sz w:val="28"/>
          <w:szCs w:val="28"/>
          <w:lang w:val="uk-UA"/>
        </w:rPr>
        <w:t>особливості</w:t>
      </w:r>
      <w:r w:rsidRPr="00A174C5">
        <w:rPr>
          <w:rFonts w:ascii="Times New Roman" w:hAnsi="Times New Roman" w:cs="Times New Roman"/>
          <w:sz w:val="28"/>
          <w:szCs w:val="28"/>
          <w:lang w:val="uk-UA"/>
        </w:rPr>
        <w:t xml:space="preserve"> відображення в декларації з податку на прибуток підприємств сплату за товари, роботи, послуги, які були реалізовані під час перебування на спрощеній системі.</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Доходом платника єдиного податку для юридичних осіб є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цієї статті. При цьому датою отримання доходу платника єдиного податку є дата надходження коштів платнику єдиного податку у грошовій  формі, дата підписання платником єдиного податку </w:t>
      </w:r>
      <w:proofErr w:type="spellStart"/>
      <w:r w:rsidRPr="00A174C5">
        <w:rPr>
          <w:rFonts w:ascii="Times New Roman" w:hAnsi="Times New Roman" w:cs="Times New Roman"/>
          <w:sz w:val="28"/>
          <w:szCs w:val="28"/>
          <w:lang w:val="uk-UA"/>
        </w:rPr>
        <w:t>акта</w:t>
      </w:r>
      <w:proofErr w:type="spellEnd"/>
      <w:r w:rsidRPr="00A174C5">
        <w:rPr>
          <w:rFonts w:ascii="Times New Roman" w:hAnsi="Times New Roman" w:cs="Times New Roman"/>
          <w:sz w:val="28"/>
          <w:szCs w:val="28"/>
          <w:lang w:val="uk-UA"/>
        </w:rPr>
        <w:t xml:space="preserve"> приймання-передачі безоплатно отриманих товарів (робіт, послуг) (п. 292.1 ст. 292, п. 292.6 ст. 292 Кодекс</w:t>
      </w:r>
      <w:r>
        <w:rPr>
          <w:rFonts w:ascii="Times New Roman" w:hAnsi="Times New Roman" w:cs="Times New Roman"/>
          <w:sz w:val="28"/>
          <w:szCs w:val="28"/>
          <w:lang w:val="uk-UA"/>
        </w:rPr>
        <w:t>у</w:t>
      </w:r>
      <w:r w:rsidRPr="00A174C5">
        <w:rPr>
          <w:rFonts w:ascii="Times New Roman" w:hAnsi="Times New Roman" w:cs="Times New Roman"/>
          <w:sz w:val="28"/>
          <w:szCs w:val="28"/>
          <w:lang w:val="uk-UA"/>
        </w:rPr>
        <w:t>).</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ab/>
        <w:t xml:space="preserve">  Отже всі кошти, які платник отримав в період сплати інших податків і зборів після відмови від застосування спрощеної системи оподаткування, не підлягають оподаткуванню єдиним податком.</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 Разом з цим, об’єктом оподаткування податком на прибуток є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Кодексу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134.1.1 п. 134.1 ст. 134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Платники, у яких річний дохід від будь-якої діяльності (за вирахуванням непрямих податків), визначений за правилами бухгалтерського обліку за останній річний звітний період не перевищує сорока мільйонів гривень, об'єкт оподаткування може визначатися без коригування фінансового результату до оподаткування на усі різниці (крім від'ємного значення об'єкта оподаткування минулих податкових (звітних) років та бюджетних грантів, отриманих платником податку та включених до складу доходів звітного періоду відповідно до національних положень (стандартів) бухгалтерського обліку або міжнародних стандартів фінансової звітності), визначені відповідно до положень розділу ІІІ, не більше одного разу протягом безперервної сукупності років в кожному з яких виконується цей критерій щодо розміру доходу. Про прийняте рішення платник податку зазначає у податковій звітності з цього податку, що подається за перший рік в такій безперервній сукупності років. В подальші роки такої сукупності коригування фінансового результату також не застосовуються (крім від'ємного значення об'єкта оподаткування минулих податкових (звітних) років та коригувань, визначених підпунктом </w:t>
      </w:r>
      <w:r w:rsidRPr="00A174C5">
        <w:rPr>
          <w:rFonts w:ascii="Times New Roman" w:hAnsi="Times New Roman" w:cs="Times New Roman"/>
          <w:sz w:val="28"/>
          <w:szCs w:val="28"/>
          <w:lang w:val="uk-UA"/>
        </w:rPr>
        <w:lastRenderedPageBreak/>
        <w:t>140.4.8 пункту 140.4 та підпунктом 140.5.16 пункту 140.5 статті 140 цього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Тобто, обов’язкове коригування фінансового результату до оподаткування на різниці визначені розділом ІІІ Кодексу здійснюються платниками, у яких дохід перевищує сорок мільйонів гривень.</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ab/>
        <w:t xml:space="preserve">Починаючи з 23 травня 2020 року у зв’язку з  набуття чинності Закону України від 16.01.2020 г. N 466-IX «Про внесення змін до Податкового кодексу України щодо вдосконалення адміністрування податків, усунення технічних та логічних </w:t>
      </w:r>
      <w:proofErr w:type="spellStart"/>
      <w:r w:rsidRPr="00A174C5">
        <w:rPr>
          <w:rFonts w:ascii="Times New Roman" w:hAnsi="Times New Roman" w:cs="Times New Roman"/>
          <w:sz w:val="28"/>
          <w:szCs w:val="28"/>
          <w:lang w:val="uk-UA"/>
        </w:rPr>
        <w:t>неузгодженостей</w:t>
      </w:r>
      <w:proofErr w:type="spellEnd"/>
      <w:r w:rsidRPr="00A174C5">
        <w:rPr>
          <w:rFonts w:ascii="Times New Roman" w:hAnsi="Times New Roman" w:cs="Times New Roman"/>
          <w:sz w:val="28"/>
          <w:szCs w:val="28"/>
          <w:lang w:val="uk-UA"/>
        </w:rPr>
        <w:t xml:space="preserve"> у податковому законодавстві» вилучено з розділу ІІІ підпункт 140.5.12 пункту 140.5 статті 140 Кодексу  з одночасним доповненням до розділу ХХ підрозділу 4 пункту 4</w:t>
      </w:r>
      <w:r w:rsidRPr="00E2005F">
        <w:rPr>
          <w:rFonts w:ascii="Times New Roman" w:hAnsi="Times New Roman" w:cs="Times New Roman"/>
          <w:sz w:val="28"/>
          <w:szCs w:val="28"/>
          <w:vertAlign w:val="superscript"/>
          <w:lang w:val="uk-UA"/>
        </w:rPr>
        <w:t>1</w:t>
      </w:r>
      <w:r w:rsidRPr="00A174C5">
        <w:rPr>
          <w:rFonts w:ascii="Times New Roman" w:hAnsi="Times New Roman" w:cs="Times New Roman"/>
          <w:sz w:val="28"/>
          <w:szCs w:val="28"/>
          <w:lang w:val="uk-UA"/>
        </w:rPr>
        <w:t>, яким визначено, що фінансовий результат до оподаткування податкового звітного періоду збільшується на суму доходу, отриманого як оплата за товари роботи, послуги, відвантажені (надані) під час перебування на спрощеній системі оподаткування. Положення цього підпункту не поширюються на платників податків, які були платниками єдиного податку четвертої групи.</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sidRPr="00A174C5">
        <w:rPr>
          <w:rFonts w:ascii="Times New Roman" w:hAnsi="Times New Roman" w:cs="Times New Roman"/>
          <w:sz w:val="28"/>
          <w:szCs w:val="28"/>
          <w:lang w:val="uk-UA"/>
        </w:rPr>
        <w:tab/>
        <w:t xml:space="preserve">Таким чином, платники, що перейшли протягом звітного року зі спрощеної системи на загальну систему оподаткування (в </w:t>
      </w:r>
      <w:proofErr w:type="spellStart"/>
      <w:r w:rsidRPr="00A174C5">
        <w:rPr>
          <w:rFonts w:ascii="Times New Roman" w:hAnsi="Times New Roman" w:cs="Times New Roman"/>
          <w:sz w:val="28"/>
          <w:szCs w:val="28"/>
          <w:lang w:val="uk-UA"/>
        </w:rPr>
        <w:t>т.ч</w:t>
      </w:r>
      <w:proofErr w:type="spellEnd"/>
      <w:r w:rsidRPr="00A174C5">
        <w:rPr>
          <w:rFonts w:ascii="Times New Roman" w:hAnsi="Times New Roman" w:cs="Times New Roman"/>
          <w:sz w:val="28"/>
          <w:szCs w:val="28"/>
          <w:lang w:val="uk-UA"/>
        </w:rPr>
        <w:t>. ті платники, у яких дохід не перевищує сорок мільйонів гривень та прийняли рішення щодо незастосування коригування різниць на усі різниці (крім від'ємного значення об'єкта оподаткування минулих податкових звітних років та бюджетних грантів, отриманих платником податку та включених до складу доходів звітного періоду відповідно до національних положень бухгалтерського обліку або міжнародних стандартів фінансової звітності) збільшують фінансовий результат до оподаткування на суму коштів, отриманих на загальній системі оподаткування за товари, послуги отримані (виконані) під час перебування його на спрощеній системі оподаткування та відображають у рядку  4.1.5.1 Додатку РІ до рядка 03 РІ Декларації з податку на прибуток підприємств, затвердженої наказом Міністерства фінансів України від 20.10.2015 №897 зі змінами та доповненнями.</w:t>
      </w:r>
    </w:p>
    <w:p w:rsidR="00356E07"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356E07"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B1E14">
        <w:rPr>
          <w:rFonts w:ascii="Times New Roman" w:hAnsi="Times New Roman" w:cs="Times New Roman"/>
          <w:sz w:val="28"/>
          <w:szCs w:val="28"/>
          <w:lang w:val="uk-UA"/>
        </w:rPr>
        <w:t xml:space="preserve">Крім того, </w:t>
      </w:r>
      <w:r>
        <w:rPr>
          <w:rFonts w:ascii="Times New Roman" w:hAnsi="Times New Roman" w:cs="Times New Roman"/>
          <w:sz w:val="28"/>
          <w:szCs w:val="28"/>
          <w:lang w:val="uk-UA"/>
        </w:rPr>
        <w:t>п</w:t>
      </w:r>
      <w:r w:rsidRPr="000B1E14">
        <w:rPr>
          <w:rFonts w:ascii="Times New Roman" w:hAnsi="Times New Roman" w:cs="Times New Roman"/>
          <w:sz w:val="28"/>
          <w:szCs w:val="28"/>
          <w:lang w:val="uk-UA"/>
        </w:rPr>
        <w:t xml:space="preserve">ри переході зі спрощеної системи оподаткування на загальну існують </w:t>
      </w:r>
      <w:r>
        <w:rPr>
          <w:rFonts w:ascii="Times New Roman" w:hAnsi="Times New Roman" w:cs="Times New Roman"/>
          <w:sz w:val="28"/>
          <w:szCs w:val="28"/>
          <w:lang w:val="uk-UA"/>
        </w:rPr>
        <w:t>особливості</w:t>
      </w:r>
      <w:r w:rsidRPr="000B1E14">
        <w:rPr>
          <w:rFonts w:ascii="Times New Roman" w:hAnsi="Times New Roman" w:cs="Times New Roman"/>
          <w:sz w:val="28"/>
          <w:szCs w:val="28"/>
          <w:lang w:val="uk-UA"/>
        </w:rPr>
        <w:t xml:space="preserve"> відображення в декларації з податку на прибуток підприємств </w:t>
      </w:r>
      <w:r>
        <w:rPr>
          <w:rFonts w:ascii="Times New Roman" w:hAnsi="Times New Roman" w:cs="Times New Roman"/>
          <w:sz w:val="28"/>
          <w:szCs w:val="28"/>
          <w:lang w:val="uk-UA"/>
        </w:rPr>
        <w:t>збитків минулих періодів, що виникли під час перебування на єдиному податку</w:t>
      </w:r>
      <w:r w:rsidRPr="000B1E14">
        <w:rPr>
          <w:rFonts w:ascii="Times New Roman" w:hAnsi="Times New Roman" w:cs="Times New Roman"/>
          <w:sz w:val="28"/>
          <w:szCs w:val="28"/>
          <w:lang w:val="uk-UA"/>
        </w:rPr>
        <w:t>.</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Так, відповідно до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1 п.297.1 ст. 297 Кодексу платники єдиного податку звільняються від обов'язку нарахування, сплати та подання податкової звітності з таких податків і зборів, зокрема, податку на прибуток підприємств, крім випадків, передбачених абзацами другим і третім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133.1.1 та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133.1.4 п. 133.1 ст. 133 цього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Згідно з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xml:space="preserve">. 134.1.1 п. 134.1 ст. 134 Кодексу об’єктом оподаткування податком на прибуток підприємств є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w:t>
      </w:r>
      <w:r w:rsidRPr="00A174C5">
        <w:rPr>
          <w:rFonts w:ascii="Times New Roman" w:hAnsi="Times New Roman" w:cs="Times New Roman"/>
          <w:sz w:val="28"/>
          <w:szCs w:val="28"/>
          <w:lang w:val="uk-UA"/>
        </w:rPr>
        <w:lastRenderedPageBreak/>
        <w:t>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Отже, об’єкт оподаткування податком на прибуток розраховують шляхом коригування фінансового результату до оподаткування звітного періоду, визначеного у бухгалтерському обліку, на податкові різниці, які виникають відповідно до положень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Об’єкт оподаткування податком на прибуток за звітний період визначається у Податкової декларації з податку на прибуток підприємств, затвердженої наказом Міністерства фінансів України від 20.10.2015 р. № 897 (зі змінами та доповненнями) як різниця між значеннями рядків 02 Декларації «Фінансовий результат до оподаткування (прибуток або збиток), визначений у фінансовій звітності відповідно до національних положень (стандартів) бухгалтерського обліку або міжнародних стандартів фінансової звітності (+, -)» та рядка 03 Декларації «Різниці, які виникають відповідно до Податкового кодексу України (+, -)» та відображається у рядку 04 Декларації. </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При цьому, якщо рядок 04 Декларації за звітний податковий рік має від’ємний показник, тобто виникає від’ємне значення об’єкта оподаткування, визначене у податковому обліку, платник податку має право формувати різницю, на яку зменшує об’єкт оподаткування податком на прибуток у наступних звітних періодах.</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Так, фінансовий результат до оподаткування зменшується на суму від'ємного значення об'єкта оподаткування минулих податкових (звітних) років (</w:t>
      </w:r>
      <w:proofErr w:type="spellStart"/>
      <w:r w:rsidRPr="00A174C5">
        <w:rPr>
          <w:rFonts w:ascii="Times New Roman" w:hAnsi="Times New Roman" w:cs="Times New Roman"/>
          <w:sz w:val="28"/>
          <w:szCs w:val="28"/>
          <w:lang w:val="uk-UA"/>
        </w:rPr>
        <w:t>п.п</w:t>
      </w:r>
      <w:proofErr w:type="spellEnd"/>
      <w:r w:rsidRPr="00A174C5">
        <w:rPr>
          <w:rFonts w:ascii="Times New Roman" w:hAnsi="Times New Roman" w:cs="Times New Roman"/>
          <w:sz w:val="28"/>
          <w:szCs w:val="28"/>
          <w:lang w:val="uk-UA"/>
        </w:rPr>
        <w:t>. 140.4.4 п. 140.4 ст. 140 Кодексу).</w:t>
      </w:r>
    </w:p>
    <w:p w:rsidR="00356E07" w:rsidRPr="00A174C5" w:rsidRDefault="00356E07" w:rsidP="00356E07">
      <w:pPr>
        <w:shd w:val="clear" w:color="auto" w:fill="FFFFFF"/>
        <w:tabs>
          <w:tab w:val="left" w:pos="916"/>
          <w:tab w:val="left" w:pos="1832"/>
          <w:tab w:val="left" w:pos="2748"/>
          <w:tab w:val="left" w:pos="3664"/>
          <w:tab w:val="left" w:pos="4580"/>
          <w:tab w:val="left" w:pos="5496"/>
          <w:tab w:val="left" w:pos="6412"/>
          <w:tab w:val="left" w:pos="7328"/>
          <w:tab w:val="left" w:pos="8244"/>
          <w:tab w:val="left" w:pos="9214"/>
          <w:tab w:val="left" w:pos="10076"/>
          <w:tab w:val="left" w:pos="10992"/>
          <w:tab w:val="left" w:pos="11908"/>
          <w:tab w:val="left" w:pos="12824"/>
          <w:tab w:val="left" w:pos="13740"/>
          <w:tab w:val="left" w:pos="14656"/>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A174C5">
        <w:rPr>
          <w:rFonts w:ascii="Times New Roman" w:hAnsi="Times New Roman" w:cs="Times New Roman"/>
          <w:sz w:val="28"/>
          <w:szCs w:val="28"/>
          <w:lang w:val="uk-UA"/>
        </w:rPr>
        <w:t xml:space="preserve">В результаті вищевикладеного, платник податку на прибуток, який перейшов зі спрощеної системи оподаткування на загальну, не може зменшити фінансовий результат до оподаткування на суму збитку, визначеного у фінансовій звітності відповідно до правил бухгалтерського обліку за період перебування його на спрощеній системі оподаткування. </w:t>
      </w:r>
    </w:p>
    <w:p w:rsidR="00B913A3" w:rsidRPr="00356E07" w:rsidRDefault="00B913A3">
      <w:pPr>
        <w:rPr>
          <w:lang w:val="uk-UA"/>
        </w:rPr>
      </w:pPr>
    </w:p>
    <w:p w:rsidR="00B913A3" w:rsidRPr="00E63F89" w:rsidRDefault="00B913A3"/>
    <w:p w:rsidR="00B913A3" w:rsidRPr="00E63F89" w:rsidRDefault="00B913A3"/>
    <w:p w:rsidR="00B913A3" w:rsidRPr="00E63F89" w:rsidRDefault="00B913A3"/>
    <w:p w:rsidR="00B913A3" w:rsidRPr="00E63F89" w:rsidRDefault="00B913A3"/>
    <w:p w:rsidR="00B913A3" w:rsidRPr="007E7AFD" w:rsidRDefault="00B913A3"/>
    <w:p w:rsidR="007E7AFD" w:rsidRDefault="007E7AFD">
      <w:pPr>
        <w:rPr>
          <w:lang w:val="en-US"/>
        </w:rPr>
      </w:pPr>
    </w:p>
    <w:p w:rsidR="007E7AFD" w:rsidRPr="007E7AFD" w:rsidRDefault="007E7AFD">
      <w:pPr>
        <w:rPr>
          <w:lang w:val="en-US"/>
        </w:rPr>
      </w:pPr>
      <w:bookmarkStart w:id="11" w:name="_GoBack"/>
      <w:bookmarkEnd w:id="11"/>
    </w:p>
    <w:p w:rsidR="00EE211E" w:rsidRPr="007E7AFD" w:rsidRDefault="00EE211E"/>
    <w:p w:rsidR="00D07571" w:rsidRPr="00D07571" w:rsidRDefault="00D07571" w:rsidP="00D07571">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7"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EE211E">
          <w:rPr>
            <w:rFonts w:ascii="Times New Roman" w:eastAsia="Calibri" w:hAnsi="Times New Roman" w:cs="Times New Roman"/>
            <w:color w:val="0000FF"/>
            <w:sz w:val="20"/>
            <w:szCs w:val="20"/>
            <w:u w:val="single"/>
            <w:lang w:val="en-US" w:eastAsia="ru-RU"/>
          </w:rPr>
          <w:t>ua</w:t>
        </w:r>
        <w:proofErr w:type="spellEnd"/>
      </w:hyperlink>
    </w:p>
    <w:p w:rsidR="00A9309E" w:rsidRPr="00A9309E" w:rsidRDefault="00D07571" w:rsidP="00D0757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8" w:history="1">
        <w:r w:rsidR="00A9309E" w:rsidRPr="00A9309E">
          <w:rPr>
            <w:rStyle w:val="a5"/>
            <w:rFonts w:ascii="Times New Roman" w:eastAsia="Calibri" w:hAnsi="Times New Roman" w:cs="Times New Roman"/>
            <w:sz w:val="20"/>
            <w:szCs w:val="20"/>
            <w:lang w:val="uk-UA" w:eastAsia="ru-RU"/>
          </w:rPr>
          <w:t>https://ck.tax.gov.ua/</w:t>
        </w:r>
      </w:hyperlink>
    </w:p>
    <w:sectPr w:rsidR="00A9309E" w:rsidRPr="00A9309E" w:rsidSect="00E7256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0768A"/>
    <w:multiLevelType w:val="hybridMultilevel"/>
    <w:tmpl w:val="3A7402EA"/>
    <w:lvl w:ilvl="0" w:tplc="1AEC21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BB"/>
    <w:rsid w:val="000A7DA7"/>
    <w:rsid w:val="002209F3"/>
    <w:rsid w:val="002A0731"/>
    <w:rsid w:val="00356E07"/>
    <w:rsid w:val="0042694C"/>
    <w:rsid w:val="005504EF"/>
    <w:rsid w:val="007E7AFD"/>
    <w:rsid w:val="0097221F"/>
    <w:rsid w:val="00A9309E"/>
    <w:rsid w:val="00B913A3"/>
    <w:rsid w:val="00BA12B7"/>
    <w:rsid w:val="00CD0DBB"/>
    <w:rsid w:val="00D07571"/>
    <w:rsid w:val="00D36934"/>
    <w:rsid w:val="00E63F89"/>
    <w:rsid w:val="00E7256A"/>
    <w:rsid w:val="00EE21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75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7571"/>
    <w:rPr>
      <w:rFonts w:ascii="Tahoma" w:hAnsi="Tahoma" w:cs="Tahoma"/>
      <w:sz w:val="16"/>
      <w:szCs w:val="16"/>
    </w:rPr>
  </w:style>
  <w:style w:type="character" w:styleId="a5">
    <w:name w:val="Hyperlink"/>
    <w:basedOn w:val="a0"/>
    <w:uiPriority w:val="99"/>
    <w:unhideWhenUsed/>
    <w:rsid w:val="00A9309E"/>
    <w:rPr>
      <w:color w:val="0000FF" w:themeColor="hyperlink"/>
      <w:u w:val="single"/>
    </w:rPr>
  </w:style>
  <w:style w:type="paragraph" w:styleId="a6">
    <w:name w:val="List Paragraph"/>
    <w:basedOn w:val="a"/>
    <w:uiPriority w:val="34"/>
    <w:qFormat/>
    <w:rsid w:val="00E63F89"/>
    <w:pPr>
      <w:spacing w:after="0" w:line="240" w:lineRule="auto"/>
      <w:ind w:left="720"/>
      <w:contextualSpacing/>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6707</Words>
  <Characters>3823</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Imperia</dc:creator>
  <cp:lastModifiedBy>user</cp:lastModifiedBy>
  <cp:revision>3</cp:revision>
  <dcterms:created xsi:type="dcterms:W3CDTF">2021-06-14T08:07:00Z</dcterms:created>
  <dcterms:modified xsi:type="dcterms:W3CDTF">2021-06-15T05:36:00Z</dcterms:modified>
</cp:coreProperties>
</file>