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F6E2925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F32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6B8049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409F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F32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409F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2105DA7" w14:textId="058677B6" w:rsidR="002A55B1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627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Циганник Т.А.</w:t>
      </w:r>
    </w:p>
    <w:p w14:paraId="030F6E24" w14:textId="48E5780E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42444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B341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62793">
        <w:rPr>
          <w:rFonts w:ascii="Times New Roman" w:hAnsi="Times New Roman" w:cs="Times New Roman"/>
          <w:sz w:val="28"/>
          <w:szCs w:val="28"/>
          <w:lang w:val="uk-UA"/>
        </w:rPr>
        <w:t>. Циганник Тетяни Анатоліївни</w:t>
      </w:r>
      <w:r w:rsidR="0026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A8A448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2793">
        <w:rPr>
          <w:rFonts w:ascii="Times New Roman" w:eastAsia="Calibri" w:hAnsi="Times New Roman"/>
          <w:sz w:val="28"/>
          <w:szCs w:val="28"/>
          <w:lang w:val="uk-UA"/>
        </w:rPr>
        <w:t xml:space="preserve">Циганник  Тетяні  Анатоліївні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</w:t>
      </w:r>
      <w:r w:rsidR="00A6279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A62793">
        <w:rPr>
          <w:rFonts w:ascii="Times New Roman" w:hAnsi="Times New Roman"/>
          <w:sz w:val="28"/>
          <w:szCs w:val="28"/>
          <w:lang w:val="uk-UA" w:eastAsia="ru-RU"/>
        </w:rPr>
        <w:t>65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627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</w:t>
      </w:r>
      <w:r w:rsidR="004A4CEB" w:rsidRPr="007D14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>(за межами с.Дібрівка)</w:t>
      </w:r>
    </w:p>
    <w:p w14:paraId="453B78F5" w14:textId="59BBAD1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55B1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A62793">
        <w:rPr>
          <w:rFonts w:ascii="Times New Roman" w:hAnsi="Times New Roman"/>
          <w:sz w:val="28"/>
          <w:szCs w:val="28"/>
          <w:lang w:val="uk-UA"/>
        </w:rPr>
        <w:t>гр. Циганник Тетяну Анатоліївну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5BA12284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4D3A26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  <w:bookmarkStart w:id="0" w:name="_GoBack"/>
      <w:bookmarkEnd w:id="0"/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2C1DF33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3A26">
        <w:rPr>
          <w:rFonts w:ascii="Times New Roman" w:hAnsi="Times New Roman" w:cs="Times New Roman"/>
          <w:sz w:val="28"/>
          <w:szCs w:val="28"/>
          <w:lang w:val="uk-UA"/>
        </w:rPr>
        <w:t xml:space="preserve">                Артем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3A26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6779F"/>
    <w:rsid w:val="00276297"/>
    <w:rsid w:val="00287F54"/>
    <w:rsid w:val="002A55B1"/>
    <w:rsid w:val="002A689E"/>
    <w:rsid w:val="002B4602"/>
    <w:rsid w:val="002C6C96"/>
    <w:rsid w:val="002E310C"/>
    <w:rsid w:val="00331322"/>
    <w:rsid w:val="00340AFE"/>
    <w:rsid w:val="003712B7"/>
    <w:rsid w:val="0038494C"/>
    <w:rsid w:val="003B3416"/>
    <w:rsid w:val="003E37E8"/>
    <w:rsid w:val="004457C6"/>
    <w:rsid w:val="00446B3C"/>
    <w:rsid w:val="00464CFB"/>
    <w:rsid w:val="00470C97"/>
    <w:rsid w:val="004A4CEB"/>
    <w:rsid w:val="004A7143"/>
    <w:rsid w:val="004B7A22"/>
    <w:rsid w:val="004D3A26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63CB2"/>
    <w:rsid w:val="007B1308"/>
    <w:rsid w:val="007B5FF4"/>
    <w:rsid w:val="007C6A20"/>
    <w:rsid w:val="007D14C6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2793"/>
    <w:rsid w:val="00A8377D"/>
    <w:rsid w:val="00A9070E"/>
    <w:rsid w:val="00AC6B49"/>
    <w:rsid w:val="00B23B3E"/>
    <w:rsid w:val="00B31F74"/>
    <w:rsid w:val="00BE5FA5"/>
    <w:rsid w:val="00BF3226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409F0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1B5EB-CF3D-493A-891B-214797E3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2021-10-07T08:05:00Z</cp:lastPrinted>
  <dcterms:created xsi:type="dcterms:W3CDTF">2021-10-20T11:35:00Z</dcterms:created>
  <dcterms:modified xsi:type="dcterms:W3CDTF">2021-11-18T12:19:00Z</dcterms:modified>
</cp:coreProperties>
</file>