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BF" w:rsidRPr="00D02D0D" w:rsidRDefault="003459BF" w:rsidP="003459BF">
      <w:pPr>
        <w:widowControl w:val="0"/>
        <w:tabs>
          <w:tab w:val="left" w:pos="709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</w:p>
    <w:p w:rsidR="003459BF" w:rsidRPr="003A105E" w:rsidRDefault="003459BF" w:rsidP="003459BF">
      <w:pPr>
        <w:widowControl w:val="0"/>
        <w:tabs>
          <w:tab w:val="left" w:pos="709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</w:p>
    <w:p w:rsidR="003459BF" w:rsidRPr="003A105E" w:rsidRDefault="003459BF" w:rsidP="003459BF">
      <w:pPr>
        <w:widowControl w:val="0"/>
        <w:tabs>
          <w:tab w:val="left" w:pos="709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   ЗАТВЕРДЖЕНО</w:t>
      </w:r>
    </w:p>
    <w:p w:rsidR="003459BF" w:rsidRPr="003A105E" w:rsidRDefault="003459BF" w:rsidP="003459BF">
      <w:pPr>
        <w:widowControl w:val="0"/>
        <w:tabs>
          <w:tab w:val="left" w:pos="709"/>
          <w:tab w:val="center" w:pos="4677"/>
          <w:tab w:val="left" w:pos="8647"/>
          <w:tab w:val="right" w:pos="9354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   рішення</w:t>
      </w:r>
      <w:r w:rsidRPr="003A105E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</w:t>
      </w:r>
      <w:r w:rsidR="00717F6A" w:rsidRPr="003A105E">
        <w:rPr>
          <w:rFonts w:ascii="Times New Roman" w:eastAsia="Times New Roman" w:hAnsi="Times New Roman" w:cs="Times New Roman"/>
          <w:kern w:val="1"/>
          <w:sz w:val="28"/>
          <w:szCs w:val="28"/>
          <w:lang w:val="en-US" w:eastAsia="ru-RU" w:bidi="hi-IN"/>
        </w:rPr>
        <w:t>XXXVI</w:t>
      </w:r>
      <w:r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сесії VIII-го скликання</w:t>
      </w:r>
    </w:p>
    <w:p w:rsidR="003459BF" w:rsidRPr="003A105E" w:rsidRDefault="003459BF" w:rsidP="003459BF">
      <w:pPr>
        <w:widowControl w:val="0"/>
        <w:tabs>
          <w:tab w:val="left" w:pos="709"/>
          <w:tab w:val="center" w:pos="4536"/>
          <w:tab w:val="right" w:pos="9354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   Ходорівської міської ради</w:t>
      </w:r>
    </w:p>
    <w:p w:rsidR="003459BF" w:rsidRPr="003A105E" w:rsidRDefault="003459BF" w:rsidP="003459BF">
      <w:pPr>
        <w:widowControl w:val="0"/>
        <w:tabs>
          <w:tab w:val="left" w:pos="709"/>
          <w:tab w:val="left" w:pos="4536"/>
          <w:tab w:val="left" w:pos="4820"/>
          <w:tab w:val="left" w:pos="8647"/>
        </w:tabs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   від </w:t>
      </w:r>
      <w:r w:rsidR="00E247BE" w:rsidRPr="003A105E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16.06.2020 року № 3797</w:t>
      </w:r>
    </w:p>
    <w:p w:rsidR="003459BF" w:rsidRPr="003A105E" w:rsidRDefault="003459BF" w:rsidP="003459BF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</w:pPr>
      <w:r w:rsidRPr="003A105E"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  <w:t xml:space="preserve">ТИМЧАСОВИЙ ПОРЯДОК </w:t>
      </w: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</w:pPr>
      <w:r w:rsidRPr="003A105E"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  <w:t xml:space="preserve">видалення дерев, кущів та інших зелених насаджень за </w:t>
      </w: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</w:pPr>
      <w:r w:rsidRPr="003A105E"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  <w:t xml:space="preserve">межами населених пунктів на території Ходорівської </w:t>
      </w: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  <w:r w:rsidRPr="003A105E">
        <w:rPr>
          <w:rFonts w:ascii="Times New Roman" w:eastAsia="SimSun" w:hAnsi="Times New Roman" w:cs="Times New Roman"/>
          <w:b/>
          <w:kern w:val="1"/>
          <w:sz w:val="32"/>
          <w:szCs w:val="32"/>
          <w:lang w:eastAsia="zh-CN" w:bidi="hi-IN"/>
        </w:rPr>
        <w:t>міської об’єднаної територіальної громади</w:t>
      </w: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3A105E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zh-CN" w:bidi="hi-IN"/>
        </w:rPr>
      </w:pPr>
    </w:p>
    <w:p w:rsidR="003459BF" w:rsidRPr="00145A15" w:rsidRDefault="003459BF" w:rsidP="003459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B050"/>
          <w:kern w:val="1"/>
          <w:sz w:val="28"/>
          <w:szCs w:val="28"/>
          <w:lang w:eastAsia="zh-CN" w:bidi="hi-IN"/>
        </w:rPr>
      </w:pPr>
      <w:r w:rsidRPr="003A105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2020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lastRenderedPageBreak/>
        <w:t xml:space="preserve">1. </w:t>
      </w:r>
      <w:r w:rsidRPr="003A10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Тимчасовий порядок видалення дерев, кущів та інших зелених насаджень за межами населених пунктів на території Ходорівської міської об’єднаної територіальної громади 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(надалі – Порядок) визначає процедуру видалення дерев, кущів та інших зелених насаджень (надалі – зелені насадження) за межами населених пунктів на території </w:t>
      </w:r>
      <w:r w:rsidRPr="003A105E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Ходорівської міської об’єднаної територіальної громади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.  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У цьому Порядку терміни вживаються у значенні, наведеному в Законах України “Про місцеве самоврядування в Україні”, “Про архітектурну діяльність”, “Про благоустрій населених пунктів” і “Про регулювання містобудівної діяльності”. 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2. Видалення зелених насаджень здійснюється у разі: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виконання підготовчих і будівельних робіт на об’єктах відповідно до статей 35-37 Закону України “Про регулювання містобудівної діяльності”;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знесення аварійних, сухостійних і фаутних дерев, а також самосійних і порослевих дерев з діаметром кореневої шийки не більш як 5 сантиметрів;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ліквідації аварійної ситуації на інженерних мережах за межами населених пунктів громади;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відновленн</w:t>
      </w:r>
      <w:r w:rsidR="00145A15"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я світлового режиму в 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приміщенні, що затіняється деревами; 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- проведення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водо-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, теплопостачання та водовідведення, телекомунікаційній і кабельній електромережі; 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- досягнення деревом вікової межі; 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провадження господарської діяльності на території розсадників з вирощування декоративних дерев та кущів;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ліквідації наслідків стихійного лиха, аварійної та надзвичайної ситуації.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3. Видалення зелених насаджень за межами населених пунктів здійснюється: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- за рішенням виконавчого комітету Ходорівської міської ради (далі - компетентний орган) на підставі ордера (крім випадків, передбачених</w:t>
      </w:r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 </w:t>
      </w:r>
      <w:hyperlink r:id="rId5" w:anchor="n60" w:history="1">
        <w:r w:rsidRPr="003A105E">
          <w:rPr>
            <w:rStyle w:val="a3"/>
            <w:rFonts w:ascii="Times New Roman" w:eastAsia="Times NR Cyr MT" w:hAnsi="Times New Roman" w:cs="Times New Roman"/>
            <w:color w:val="auto"/>
            <w:sz w:val="28"/>
            <w:szCs w:val="24"/>
            <w:lang w:eastAsia="ru-RU"/>
          </w:rPr>
          <w:t>пунктами 7-10</w:t>
        </w:r>
      </w:hyperlink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 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цього Порядку);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</w:pPr>
      <w:bookmarkStart w:id="0" w:name="n76"/>
      <w:bookmarkEnd w:id="0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- на </w:t>
      </w:r>
      <w:proofErr w:type="spellStart"/>
      <w:proofErr w:type="gram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п</w:t>
      </w:r>
      <w:proofErr w:type="gram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ідставі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визначених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 </w:t>
      </w:r>
      <w:hyperlink r:id="rId6" w:anchor="n447" w:tgtFrame="_blank" w:history="1">
        <w:r w:rsidRPr="003A105E">
          <w:rPr>
            <w:rStyle w:val="a3"/>
            <w:rFonts w:ascii="Times New Roman" w:eastAsia="Times NR Cyr MT" w:hAnsi="Times New Roman" w:cs="Times New Roman"/>
            <w:color w:val="auto"/>
            <w:sz w:val="28"/>
            <w:szCs w:val="24"/>
            <w:lang w:val="ru-RU" w:eastAsia="ru-RU"/>
          </w:rPr>
          <w:t>статями 35-37</w:t>
        </w:r>
      </w:hyperlink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 Закону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України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“Про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регулювання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містобудівної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діяльності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”.</w:t>
      </w:r>
    </w:p>
    <w:p w:rsidR="003459BF" w:rsidRPr="003A105E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</w:pP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Документи, що дають право на виконання підготовчих та будівельних робіт, отримані відповідно до Закону України </w:t>
      </w:r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“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>Про регулювання містобудівної діяльності</w:t>
      </w:r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”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, є підставою для видалення зелених насаджень після обстеження земельної ділянки 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та складання акта обстеження зелених насаджень, що підлягають видаленню. У цьому разі видалення зелених насаджень не потребує дозволу (ордера). Відновна вартість визначається на підставі акта обстеження зелених насаджень, що підлягають видаленню, та сплачується до прийняття об’єкта в експлуатацію. Розмір відновної вартості видалених зелених</w:t>
      </w:r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насаджень зменшується на суму, передбачену проектною документацією на озеленення території.</w:t>
      </w:r>
      <w:r w:rsidRPr="003A105E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</w:pPr>
      <w:bookmarkStart w:id="1" w:name="n116"/>
      <w:bookmarkStart w:id="2" w:name="n77"/>
      <w:bookmarkEnd w:id="1"/>
      <w:bookmarkEnd w:id="2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За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наявності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дозволу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на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виконання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будівельних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робіт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отримання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замовником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та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генеральним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proofErr w:type="gram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п</w:t>
      </w:r>
      <w:proofErr w:type="gram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ідрядником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чи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підрядником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(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якщо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будівельні</w:t>
      </w:r>
      <w:proofErr w:type="spellEnd"/>
      <w:r w:rsidRPr="003A105E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lastRenderedPageBreak/>
        <w:t>роботи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виконуються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без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залучення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субпідрядників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)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інших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дозвільного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характеру для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видалення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зелених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насаджень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у межах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будівельного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майданчика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 xml:space="preserve"> не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вимагається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val="ru-RU" w:eastAsia="ru-RU"/>
        </w:rPr>
        <w:t>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8"/>
          <w:lang w:val="ru-RU" w:eastAsia="ru-RU"/>
        </w:rPr>
        <w:t xml:space="preserve">4. </w:t>
      </w:r>
      <w:r w:rsidRPr="00026EE9">
        <w:rPr>
          <w:rFonts w:ascii="Times New Roman" w:eastAsia="Times NR Cyr MT" w:hAnsi="Times New Roman" w:cs="Times New Roman"/>
          <w:sz w:val="28"/>
          <w:szCs w:val="28"/>
          <w:lang w:eastAsia="ru-RU"/>
        </w:rPr>
        <w:t>Підставою для прийняття рішення компетентним органом є заява</w:t>
      </w:r>
      <w:r w:rsidRPr="00026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026EE9">
        <w:rPr>
          <w:rFonts w:ascii="Times New Roman" w:hAnsi="Times New Roman" w:cs="Times New Roman"/>
          <w:sz w:val="28"/>
          <w:szCs w:val="28"/>
          <w:shd w:val="clear" w:color="auto" w:fill="FFFFFF"/>
        </w:rPr>
        <w:t>обгрунтуванням</w:t>
      </w:r>
      <w:proofErr w:type="spellEnd"/>
      <w:r w:rsidRPr="00026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причини (необхідності)</w:t>
      </w:r>
      <w:r w:rsidRPr="00026EE9">
        <w:rPr>
          <w:rFonts w:ascii="Times New Roman" w:eastAsia="Times NR Cyr MT" w:hAnsi="Times New Roman" w:cs="Times New Roman"/>
          <w:sz w:val="28"/>
          <w:szCs w:val="28"/>
          <w:lang w:eastAsia="ru-RU"/>
        </w:rPr>
        <w:t xml:space="preserve"> видалення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зелених насаджень за межами населеного(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их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) пункту(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ів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), подана юридичною чи фізичною особою (далі - заявник). 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Після надходження заяви компетентний орган утворює комісію з питань визначення стану зелених насаджень та їх відновної вартості (далі - комісія), до складу якої входять представники заявника, власника земельної ділянки (користувача), компетентного органу,</w:t>
      </w:r>
      <w:r w:rsidR="00632FD1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</w:t>
      </w:r>
      <w:r w:rsidR="00236994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Департаменту екології та природних ресурсів Львівської облдержадміністрації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, а у разі потреби -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балансоутримувача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території та комунального підприємства, що здійснює утримання зелених насаджень.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Під час формування складу комісії компетентний орган протягом двох днів після надходження заяви надсилає запити до </w:t>
      </w:r>
      <w:r w:rsidR="00CE213E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Департаменту екології та природних ресурсів Львівської облдержадміністрації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, власника земельної ділянки (користувача),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балансоутримувача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території та комунального підприємства, що здійснює утримання зелених насаджень, щодо можливості їх участі в роботі комісії. </w:t>
      </w:r>
    </w:p>
    <w:p w:rsidR="003459BF" w:rsidRPr="00026EE9" w:rsidRDefault="009065F6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Департамент</w:t>
      </w:r>
      <w:r w:rsidR="00CE213E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екології та природних ресурсів Львівської облдержадміністрації</w:t>
      </w:r>
      <w:r w:rsidR="003459BF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та заінтересовані організації у п’ятиденний строк після надходження запиту надсилають компетентному органу в письмовій формі повідомлення про включення свого представника до складу комісії.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Після надходження повідомлень компетентний орган протягом трьох днів затверджує склад комісії. У разі надходження повідомлень про відмову від участі представників </w:t>
      </w:r>
      <w:r w:rsidR="0061010B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Департаменту екології та природних ресурсів Львівської облдержадміністрації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</w:t>
      </w:r>
      <w:r w:rsidR="001309C2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та </w:t>
      </w: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заінтересованих організацій склад комісії затверджується без таких представників.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У процесі визначення стану зелених насаджень та відновної вартості зелених насаджень, які видаляються на підставі одного з документів, визначених </w:t>
      </w:r>
      <w:hyperlink r:id="rId7" w:anchor="n447" w:tgtFrame="_blank" w:history="1">
        <w:r w:rsidRPr="00026EE9">
          <w:rPr>
            <w:rStyle w:val="a3"/>
            <w:rFonts w:ascii="Times New Roman" w:eastAsia="Times NR Cyr MT" w:hAnsi="Times New Roman" w:cs="Times New Roman"/>
            <w:color w:val="auto"/>
            <w:sz w:val="28"/>
            <w:szCs w:val="24"/>
            <w:lang w:eastAsia="ru-RU"/>
          </w:rPr>
          <w:t>статтями 35-37</w:t>
        </w:r>
      </w:hyperlink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Закону України “Про регулювання містобудівної компанії”, до складу комісії включається представник фізичної або юридичної особи, яка має намір щодо забудови території.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Комісія у п’ятиденний строк після її затвердження визначає стан зелених насаджень, розташованих на земельній ділянці, і їх відновну вартість та складає акт обстеження тих насаджень, що підлягають видаленню (далі - акт), за формою, затвердженою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Мінрегіоном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3" w:name="n110"/>
      <w:bookmarkEnd w:id="3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Відновна вартість зелених насаджень визначається згідно з методикою, затвердженою </w:t>
      </w:r>
      <w:proofErr w:type="spellStart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Мінрегіоном</w:t>
      </w:r>
      <w:proofErr w:type="spellEnd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.</w:t>
      </w:r>
    </w:p>
    <w:p w:rsidR="003459BF" w:rsidRPr="00026EE9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4" w:name="n111"/>
      <w:bookmarkEnd w:id="4"/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>У разі знесення аварійних, сухостійних і фаутних дерев комісія з’ясовує причину набуття деревами такого стану, про яку зазначається в складеному комісією акті.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Кожному члену комісії надається один примірник акта. У разі відсутності представника </w:t>
      </w:r>
      <w:r w:rsidR="002A5D69" w:rsidRPr="00026EE9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Департаменту екології та природних ресурсів Львівської </w:t>
      </w:r>
      <w:r w:rsidR="002A5D69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облдержадміністрації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у складі комісії один примірник акта у триденний строк 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lastRenderedPageBreak/>
        <w:t xml:space="preserve">надсилається до </w:t>
      </w:r>
      <w:r w:rsidR="008566FB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Департаменту екології та природних ресурсів Львівської облдержадміністрації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.</w:t>
      </w:r>
      <w:r w:rsidR="008566FB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</w:t>
      </w:r>
      <w:r w:rsidR="002A5D69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5" w:name="n113"/>
      <w:bookmarkEnd w:id="5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Голова комісії готує в п’ятиденний строк проект рішення компетентного органу про видалення зелених насаджень, в якому зазначається інформація про кількість зелених насаджень, що підлягають видаленню і залишаються на земельній ділянці.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Компетентний орган у місячний строк після надходження зазначеного проекту рішення про видалення зелених насаджень приймає відповідне рішення і видає наступного дня заявнику його копію для оплати відновної вартості зелених насаджень, що підлягають видаленню.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6" w:name="n102"/>
      <w:bookmarkStart w:id="7" w:name="n31"/>
      <w:bookmarkEnd w:id="6"/>
      <w:bookmarkEnd w:id="7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5. Ордер на видалення зелених насаджень компетентний орган видає не пізніше наступного робочого дня після подання заявником документа про сплату відновної вартості зелених насаджень, що підлягають видаленню.</w:t>
      </w:r>
    </w:p>
    <w:bookmarkStart w:id="8" w:name="n32"/>
    <w:bookmarkEnd w:id="8"/>
    <w:p w:rsidR="003459BF" w:rsidRPr="00106FB6" w:rsidRDefault="008F3E9E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fldChar w:fldCharType="begin"/>
      </w:r>
      <w:r w:rsidR="003459BF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instrText xml:space="preserve"> HYPERLINK "https://zakon.rada.gov.ua/laws/show/z0549-09" \t "_blank" </w:instrTex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fldChar w:fldCharType="separate"/>
      </w:r>
      <w:r w:rsidR="003459BF" w:rsidRPr="00106FB6">
        <w:rPr>
          <w:rStyle w:val="a3"/>
          <w:rFonts w:ascii="Times New Roman" w:eastAsia="Times NR Cyr MT" w:hAnsi="Times New Roman" w:cs="Times New Roman"/>
          <w:color w:val="auto"/>
          <w:sz w:val="28"/>
          <w:szCs w:val="24"/>
          <w:lang w:eastAsia="ru-RU"/>
        </w:rPr>
        <w:t>Методику визначення відновної вартості зелених насаджень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fldChar w:fldCharType="end"/>
      </w:r>
      <w:r w:rsidR="003459BF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і </w:t>
      </w:r>
      <w:hyperlink r:id="rId8" w:tgtFrame="_blank" w:history="1">
        <w:r w:rsidR="003459BF" w:rsidRPr="00106FB6">
          <w:rPr>
            <w:rStyle w:val="a3"/>
            <w:rFonts w:ascii="Times New Roman" w:eastAsia="Times NR Cyr MT" w:hAnsi="Times New Roman" w:cs="Times New Roman"/>
            <w:color w:val="auto"/>
            <w:sz w:val="28"/>
            <w:szCs w:val="24"/>
            <w:lang w:eastAsia="ru-RU"/>
          </w:rPr>
          <w:t>зразок ордера</w:t>
        </w:r>
      </w:hyperlink>
      <w:r w:rsidR="003459BF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затверджує </w:t>
      </w:r>
      <w:proofErr w:type="spellStart"/>
      <w:r w:rsidR="003459BF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Мінрегіон</w:t>
      </w:r>
      <w:proofErr w:type="spellEnd"/>
      <w:r w:rsidR="003459BF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.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9" w:name="n86"/>
      <w:bookmarkStart w:id="10" w:name="n88"/>
      <w:bookmarkEnd w:id="9"/>
      <w:bookmarkEnd w:id="10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Відновна вартість зелених насаджень, що належать до комунальної власності, сплачується до відповідного місцевого бюджету.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1" w:name="n87"/>
      <w:bookmarkStart w:id="12" w:name="n120"/>
      <w:bookmarkEnd w:id="11"/>
      <w:bookmarkEnd w:id="12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6. Сплата відновної вартості зелених насаджень не проводиться у разі: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3" w:name="n34"/>
      <w:bookmarkEnd w:id="13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будівництва (нового будівництва, реконструкції, реставрації,</w:t>
      </w:r>
      <w:r w:rsidR="00EC249C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капітального ремонту) 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будинків, об’єктів інженерно-транспортної та соціальної інфраструктури, благоустрою та інших об’єктів будівництва, що споруджуються за рахунок коштів державного чи місцевого бюджету;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4" w:name="n115"/>
      <w:bookmarkStart w:id="15" w:name="n35"/>
      <w:bookmarkEnd w:id="14"/>
      <w:bookmarkEnd w:id="15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знесення аварійних, сухостійних і фаутних дерев, а також самосійних і порослевих дерев з діаметром кореневої шийки не більш як 5 сантиметрів;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6" w:name="n36"/>
      <w:bookmarkEnd w:id="16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ліквідації аварійної ситуації на інженерних мережах за межами населеного пункту;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7" w:name="n37"/>
      <w:bookmarkEnd w:id="17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- відновлення світлового </w:t>
      </w:r>
      <w:r w:rsidR="00F700FE"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режиму в </w:t>
      </w: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приміщенні, що затіняється деревами;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8" w:name="n38"/>
      <w:bookmarkEnd w:id="18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- проведення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</w:t>
      </w:r>
      <w:proofErr w:type="spellStart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водо-</w:t>
      </w:r>
      <w:proofErr w:type="spellEnd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, теплопостачання та водовідведення, телекомунікаційній і кабельній електромережі;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19" w:name="n39"/>
      <w:bookmarkEnd w:id="19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досягнення деревом вікової межі;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20" w:name="n40"/>
      <w:bookmarkEnd w:id="20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провадження господарської діяльності на території розсадників з вирощування декоративних дерев та кущів;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21" w:name="n41"/>
      <w:bookmarkEnd w:id="21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- ліквідації наслідків стихійного лиха, аварійної та надзвичайної ситуації;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22" w:name="n42"/>
      <w:bookmarkStart w:id="23" w:name="n44"/>
      <w:bookmarkStart w:id="24" w:name="n46"/>
      <w:bookmarkEnd w:id="22"/>
      <w:bookmarkEnd w:id="23"/>
      <w:bookmarkEnd w:id="24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- будівництва культових будівель та будівель, необхідних для їх обслуговування, що здійснюється релігійними організаціями, статути (положення) яких зареєстровано в установленому законом порядку; </w:t>
      </w:r>
    </w:p>
    <w:p w:rsidR="003459BF" w:rsidRPr="00106FB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bookmarkStart w:id="25" w:name="n47"/>
      <w:bookmarkStart w:id="26" w:name="n48"/>
      <w:bookmarkStart w:id="27" w:name="n54"/>
      <w:bookmarkStart w:id="28" w:name="n67"/>
      <w:bookmarkStart w:id="29" w:name="n96"/>
      <w:bookmarkEnd w:id="25"/>
      <w:bookmarkEnd w:id="26"/>
      <w:bookmarkEnd w:id="27"/>
      <w:bookmarkEnd w:id="28"/>
      <w:bookmarkEnd w:id="29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7. Видалення аварійних, сухостійних і фаутних дерев на об'єкті благоустрою здійснює </w:t>
      </w:r>
      <w:proofErr w:type="spellStart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>балансоутримувач</w:t>
      </w:r>
      <w:proofErr w:type="spellEnd"/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на підставі акта, що складається відповідно до пункту 4 цього Порядку.</w:t>
      </w:r>
    </w:p>
    <w:p w:rsidR="003459BF" w:rsidRPr="0043630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106FB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8.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громадян чи майну громадян та/або юридичних осіб, видалення зелених </w:t>
      </w:r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lastRenderedPageBreak/>
        <w:t xml:space="preserve">насаджень здійснюється негайно з подальшим оформленням акта відповідно до пункту 4 цього Порядку. </w:t>
      </w:r>
    </w:p>
    <w:p w:rsidR="003459BF" w:rsidRPr="0043630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9. Видалення зелених насаджень на території меморіального комплексу та кладовищі, </w:t>
      </w:r>
      <w:r w:rsidRPr="004363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меліоративних каналів (самосійні дерева), у водоохоронній зоні річок, які знаходяться за межами населеного пункту, </w:t>
      </w:r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здійснюється за рішенням </w:t>
      </w:r>
      <w:proofErr w:type="spellStart"/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>балансоутримувача</w:t>
      </w:r>
      <w:proofErr w:type="spellEnd"/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 xml:space="preserve"> без сплати їх відновної вартості. </w:t>
      </w:r>
    </w:p>
    <w:p w:rsidR="003459BF" w:rsidRPr="0043630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>10. Видалення зелених насаджень на земельній ділянці, яка перебуває у приватній власності, та на присадибній ділянці здійснюється за рішенням власника (користувача) земельної ділянки без сплати їх відновної вартості.</w:t>
      </w:r>
    </w:p>
    <w:p w:rsidR="003459BF" w:rsidRPr="00436306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436306">
        <w:rPr>
          <w:rFonts w:ascii="Times New Roman" w:eastAsia="Times NR Cyr MT" w:hAnsi="Times New Roman" w:cs="Times New Roman"/>
          <w:sz w:val="28"/>
          <w:szCs w:val="24"/>
          <w:lang w:eastAsia="ru-RU"/>
        </w:rPr>
        <w:t>11. Відновна вартість зелених насаджень, розташованих на земельній ділянці, що відведена в установленому порядку фізичній або юридичній особі (крім відновної вартості зелених насаджень, посаджених (створених) цією особою), сплачується під час передачі такої ділянки у власність відповідної особи.</w:t>
      </w:r>
    </w:p>
    <w:p w:rsidR="003459BF" w:rsidRPr="00A87842" w:rsidRDefault="003459BF" w:rsidP="00345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R Cyr MT" w:hAnsi="Times New Roman" w:cs="Times New Roman"/>
          <w:sz w:val="28"/>
          <w:szCs w:val="24"/>
          <w:lang w:eastAsia="ru-RU"/>
        </w:rPr>
      </w:pPr>
      <w:r w:rsidRPr="00A87842">
        <w:rPr>
          <w:rFonts w:ascii="Times New Roman" w:eastAsia="Times NR Cyr MT" w:hAnsi="Times New Roman" w:cs="Times New Roman"/>
          <w:sz w:val="28"/>
          <w:szCs w:val="24"/>
          <w:lang w:eastAsia="ru-RU"/>
        </w:rPr>
        <w:t>12. У випадках ініціювання видалення аварійних дерев виконавчим комітетом Ходорівської міської ради договір</w:t>
      </w:r>
      <w:r w:rsidRPr="00A87842">
        <w:rPr>
          <w:rFonts w:ascii="Times New Roman" w:hAnsi="Times New Roman" w:cs="Times New Roman"/>
          <w:sz w:val="28"/>
          <w:szCs w:val="28"/>
        </w:rPr>
        <w:t xml:space="preserve"> з виконавцем послуг про надання послуг з видалення зелених насаджень від імені міської ради підписує міський голова.</w:t>
      </w:r>
      <w:bookmarkStart w:id="30" w:name="_GoBack"/>
      <w:bookmarkEnd w:id="30"/>
    </w:p>
    <w:p w:rsidR="00120713" w:rsidRPr="00AB015F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87842">
        <w:rPr>
          <w:sz w:val="28"/>
          <w:szCs w:val="28"/>
          <w:lang w:val="uk-UA"/>
        </w:rPr>
        <w:t xml:space="preserve">        Видалені дерева в обсязі ліквідної деревини, яка зазначена у відомості матеріально-грошової оцінки лісосіки, передається до закладів соціальної сфери </w:t>
      </w:r>
      <w:r w:rsidRPr="00A87842">
        <w:rPr>
          <w:sz w:val="28"/>
          <w:szCs w:val="28"/>
          <w:lang w:val="uk-UA" w:eastAsia="uk-UA"/>
        </w:rPr>
        <w:t>Ходорівської міської об’єднаної територіальної громади</w:t>
      </w:r>
      <w:r w:rsidR="003910E6" w:rsidRPr="00A87842">
        <w:rPr>
          <w:sz w:val="28"/>
          <w:szCs w:val="28"/>
          <w:lang w:val="uk-UA" w:eastAsia="uk-UA"/>
        </w:rPr>
        <w:t xml:space="preserve"> та/або за рішенням виконавчого комітету</w:t>
      </w:r>
      <w:r w:rsidR="001F71BC" w:rsidRPr="00A87842">
        <w:rPr>
          <w:sz w:val="28"/>
          <w:szCs w:val="28"/>
          <w:lang w:val="uk-UA" w:eastAsia="uk-UA"/>
        </w:rPr>
        <w:t xml:space="preserve"> для інших потреб</w:t>
      </w:r>
      <w:r w:rsidR="00A778B1">
        <w:rPr>
          <w:sz w:val="28"/>
          <w:szCs w:val="28"/>
          <w:lang w:val="uk-UA"/>
        </w:rPr>
        <w:t xml:space="preserve">, </w:t>
      </w:r>
      <w:r w:rsidR="00A778B1" w:rsidRPr="00AB015F">
        <w:rPr>
          <w:sz w:val="28"/>
          <w:szCs w:val="28"/>
          <w:lang w:val="uk-UA"/>
        </w:rPr>
        <w:t>в тому числі</w:t>
      </w:r>
      <w:r w:rsidR="00AB015F" w:rsidRPr="00AB015F">
        <w:rPr>
          <w:sz w:val="28"/>
          <w:szCs w:val="28"/>
          <w:lang w:val="uk-UA"/>
        </w:rPr>
        <w:t>,</w:t>
      </w:r>
      <w:r w:rsidR="00120713" w:rsidRPr="00AB015F">
        <w:rPr>
          <w:sz w:val="28"/>
          <w:szCs w:val="28"/>
          <w:lang w:val="uk-UA"/>
        </w:rPr>
        <w:t xml:space="preserve"> при потребі</w:t>
      </w:r>
      <w:r w:rsidR="00AB015F" w:rsidRPr="00AB015F">
        <w:rPr>
          <w:sz w:val="28"/>
          <w:szCs w:val="28"/>
          <w:lang w:val="uk-UA"/>
        </w:rPr>
        <w:t>,</w:t>
      </w:r>
    </w:p>
    <w:p w:rsidR="003459BF" w:rsidRPr="00A87842" w:rsidRDefault="00AB015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B015F">
        <w:rPr>
          <w:sz w:val="28"/>
          <w:szCs w:val="28"/>
          <w:lang w:val="uk-UA"/>
        </w:rPr>
        <w:t xml:space="preserve"> </w:t>
      </w:r>
      <w:r w:rsidR="00A778B1" w:rsidRPr="00AB015F">
        <w:rPr>
          <w:sz w:val="28"/>
          <w:szCs w:val="28"/>
          <w:lang w:val="uk-UA"/>
        </w:rPr>
        <w:t xml:space="preserve"> передача деревини, як   розрахунок за виконані роботи.</w:t>
      </w:r>
      <w:r w:rsidR="003459BF" w:rsidRPr="00A87842">
        <w:rPr>
          <w:sz w:val="28"/>
          <w:szCs w:val="28"/>
          <w:lang w:val="uk-UA"/>
        </w:rPr>
        <w:t xml:space="preserve"> </w:t>
      </w:r>
    </w:p>
    <w:p w:rsidR="003459BF" w:rsidRPr="00A87842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87842">
        <w:rPr>
          <w:sz w:val="28"/>
          <w:szCs w:val="28"/>
          <w:lang w:val="uk-UA"/>
        </w:rPr>
        <w:t xml:space="preserve">        За результатами виконаних заходів з проведення видалення зелених насаджень виконавець послуг надає компетентному органу звіт щодо виконаних заходів з проведення видалення зелених насаджень з додаванням копії акту прийому-передачі ліквідної деревини до закладів соціальної сфери</w:t>
      </w:r>
      <w:r w:rsidR="00305776" w:rsidRPr="00A87842">
        <w:rPr>
          <w:sz w:val="28"/>
          <w:szCs w:val="28"/>
          <w:lang w:val="uk-UA"/>
        </w:rPr>
        <w:t xml:space="preserve"> або інших підприємств, організацій за рішенням виконавчого комітету</w:t>
      </w:r>
      <w:r w:rsidRPr="00A87842">
        <w:rPr>
          <w:sz w:val="28"/>
          <w:szCs w:val="28"/>
          <w:lang w:val="uk-UA"/>
        </w:rPr>
        <w:t>.</w:t>
      </w:r>
    </w:p>
    <w:p w:rsidR="003459BF" w:rsidRPr="00A87842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87842">
        <w:rPr>
          <w:sz w:val="28"/>
          <w:szCs w:val="28"/>
          <w:lang w:val="uk-UA"/>
        </w:rPr>
        <w:t xml:space="preserve">        13. Юридична або фізична особа з моменту отримання ним ордеру на видалення зелених насаджень отримує можливість проводити роботи з видалення зелених насаджень. </w:t>
      </w:r>
    </w:p>
    <w:p w:rsidR="003459BF" w:rsidRPr="00A87842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87842">
        <w:rPr>
          <w:sz w:val="28"/>
          <w:szCs w:val="28"/>
          <w:lang w:val="uk-UA"/>
        </w:rPr>
        <w:t xml:space="preserve">        Виконавець робіт з видалення зелених насаджень, терміни виконання таких робіт, проведення благоустрою та озеленіння території, а також порядок використання вирубаної деревини визначається в ордері на видалення зелених насаджень. </w:t>
      </w:r>
    </w:p>
    <w:p w:rsidR="003459BF" w:rsidRPr="00A87842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87842">
        <w:rPr>
          <w:sz w:val="28"/>
          <w:szCs w:val="28"/>
          <w:lang w:val="uk-UA"/>
        </w:rPr>
        <w:t xml:space="preserve">        Після закінчення виконання робіт, визначених ордером, останній закривається. Для цього виконавець по закінченню робіт звертається до </w:t>
      </w:r>
      <w:proofErr w:type="spellStart"/>
      <w:r w:rsidRPr="00A87842">
        <w:rPr>
          <w:rFonts w:eastAsia="Times NR Cyr MT"/>
          <w:sz w:val="28"/>
          <w:lang w:val="ru-RU" w:eastAsia="ru-RU"/>
        </w:rPr>
        <w:t>компетентн</w:t>
      </w:r>
      <w:r w:rsidRPr="00A87842">
        <w:rPr>
          <w:rFonts w:eastAsia="Times NR Cyr MT"/>
          <w:sz w:val="28"/>
          <w:lang w:val="uk-UA" w:eastAsia="ru-RU"/>
        </w:rPr>
        <w:t>ого</w:t>
      </w:r>
      <w:proofErr w:type="spellEnd"/>
      <w:r w:rsidRPr="00A87842">
        <w:rPr>
          <w:rFonts w:eastAsia="Times NR Cyr MT"/>
          <w:sz w:val="28"/>
          <w:lang w:val="ru-RU" w:eastAsia="ru-RU"/>
        </w:rPr>
        <w:t xml:space="preserve"> органу</w:t>
      </w:r>
      <w:r w:rsidRPr="00A87842">
        <w:rPr>
          <w:sz w:val="28"/>
          <w:szCs w:val="28"/>
          <w:lang w:val="uk-UA"/>
        </w:rPr>
        <w:t>, який видав ордер і останній ставить на ньому відповідну відмітку.</w:t>
      </w:r>
    </w:p>
    <w:p w:rsidR="003459BF" w:rsidRPr="00D02D0D" w:rsidRDefault="003459BF" w:rsidP="003459B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52F56" w:rsidRDefault="00E52F56"/>
    <w:p w:rsidR="00993A7D" w:rsidRPr="00993A7D" w:rsidRDefault="00993A7D">
      <w:pPr>
        <w:rPr>
          <w:rFonts w:ascii="Times New Roman" w:hAnsi="Times New Roman" w:cs="Times New Roman"/>
          <w:sz w:val="28"/>
          <w:szCs w:val="28"/>
        </w:rPr>
      </w:pPr>
      <w:r w:rsidRPr="00993A7D">
        <w:rPr>
          <w:rFonts w:ascii="Times New Roman" w:hAnsi="Times New Roman" w:cs="Times New Roman"/>
          <w:sz w:val="28"/>
          <w:szCs w:val="28"/>
        </w:rPr>
        <w:t>Заступник міського голови                                                   А.Батирняк</w:t>
      </w:r>
    </w:p>
    <w:sectPr w:rsidR="00993A7D" w:rsidRPr="00993A7D" w:rsidSect="00E13CAD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3ED1"/>
    <w:rsid w:val="00026EE9"/>
    <w:rsid w:val="00106FB6"/>
    <w:rsid w:val="00120713"/>
    <w:rsid w:val="001309C2"/>
    <w:rsid w:val="00145A15"/>
    <w:rsid w:val="001E57CA"/>
    <w:rsid w:val="001F71BC"/>
    <w:rsid w:val="00236994"/>
    <w:rsid w:val="00273145"/>
    <w:rsid w:val="002A5D69"/>
    <w:rsid w:val="00305776"/>
    <w:rsid w:val="003459BF"/>
    <w:rsid w:val="003910E6"/>
    <w:rsid w:val="003A105E"/>
    <w:rsid w:val="00426FE3"/>
    <w:rsid w:val="00436306"/>
    <w:rsid w:val="00446E7B"/>
    <w:rsid w:val="00455AD9"/>
    <w:rsid w:val="0061010B"/>
    <w:rsid w:val="00632FD1"/>
    <w:rsid w:val="00717F6A"/>
    <w:rsid w:val="007745DB"/>
    <w:rsid w:val="008566FB"/>
    <w:rsid w:val="00895B50"/>
    <w:rsid w:val="008F3E9E"/>
    <w:rsid w:val="009065F6"/>
    <w:rsid w:val="00993A7D"/>
    <w:rsid w:val="00A778B1"/>
    <w:rsid w:val="00A84B22"/>
    <w:rsid w:val="00A87842"/>
    <w:rsid w:val="00AB015F"/>
    <w:rsid w:val="00B86585"/>
    <w:rsid w:val="00C63ED1"/>
    <w:rsid w:val="00C94AC6"/>
    <w:rsid w:val="00CA106D"/>
    <w:rsid w:val="00CC396B"/>
    <w:rsid w:val="00CC6F05"/>
    <w:rsid w:val="00CE213E"/>
    <w:rsid w:val="00D02D0D"/>
    <w:rsid w:val="00D22E52"/>
    <w:rsid w:val="00E247BE"/>
    <w:rsid w:val="00E52F56"/>
    <w:rsid w:val="00E91600"/>
    <w:rsid w:val="00EC249C"/>
    <w:rsid w:val="00ED1BB3"/>
    <w:rsid w:val="00F159C0"/>
    <w:rsid w:val="00F700FE"/>
    <w:rsid w:val="00FB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9B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4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9B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4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549-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038-1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038-17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zakon.rada.gov.ua/laws/show/1045-200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4FC6D-1E48-413A-9435-2B299BF8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7401</Words>
  <Characters>4220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User2</cp:lastModifiedBy>
  <cp:revision>24</cp:revision>
  <cp:lastPrinted>2020-07-10T12:12:00Z</cp:lastPrinted>
  <dcterms:created xsi:type="dcterms:W3CDTF">2020-03-22T19:09:00Z</dcterms:created>
  <dcterms:modified xsi:type="dcterms:W3CDTF">2020-07-10T12:58:00Z</dcterms:modified>
</cp:coreProperties>
</file>