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2ED" w:rsidRDefault="00DF72ED" w:rsidP="00DF72ED">
      <w:pPr>
        <w:shd w:val="clear" w:color="auto" w:fill="FFFFFF"/>
        <w:spacing w:after="0" w:line="240" w:lineRule="auto"/>
        <w:jc w:val="center"/>
        <w:rPr>
          <w:rFonts w:ascii="Times New Roman" w:eastAsia="Times New Roman" w:hAnsi="Times New Roman" w:cs="Times New Roman"/>
          <w:b/>
          <w:bCs/>
          <w:sz w:val="24"/>
          <w:szCs w:val="24"/>
          <w:u w:val="single"/>
          <w:lang w:val="uk-UA" w:eastAsia="ru-RU"/>
        </w:rPr>
      </w:pPr>
      <w:r>
        <w:rPr>
          <w:rFonts w:ascii="Times New Roman" w:eastAsia="Times New Roman" w:hAnsi="Times New Roman" w:cs="Times New Roman"/>
          <w:b/>
          <w:bCs/>
          <w:sz w:val="24"/>
          <w:szCs w:val="24"/>
          <w:u w:val="single"/>
          <w:lang w:val="uk-UA" w:eastAsia="ru-RU"/>
        </w:rPr>
        <w:t>Аналіз регуляторного впливу</w:t>
      </w:r>
    </w:p>
    <w:p w:rsidR="00DF72ED" w:rsidRDefault="00DF72ED" w:rsidP="00DF72ED">
      <w:pPr>
        <w:shd w:val="clear" w:color="auto" w:fill="FFFFFF"/>
        <w:spacing w:after="0" w:line="240" w:lineRule="auto"/>
        <w:jc w:val="center"/>
        <w:rPr>
          <w:rFonts w:ascii="Times New Roman" w:eastAsia="Times New Roman" w:hAnsi="Times New Roman" w:cs="Times New Roman"/>
          <w:sz w:val="24"/>
          <w:szCs w:val="24"/>
          <w:lang w:eastAsia="ru-RU"/>
        </w:rPr>
      </w:pPr>
    </w:p>
    <w:p w:rsidR="00DF72ED" w:rsidRDefault="00DF72ED" w:rsidP="00DF72ED">
      <w:pPr>
        <w:shd w:val="clear" w:color="auto" w:fill="FFFFFF"/>
        <w:spacing w:after="0" w:line="240" w:lineRule="auto"/>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b/>
          <w:bCs/>
          <w:sz w:val="24"/>
          <w:szCs w:val="24"/>
          <w:u w:val="single"/>
          <w:lang w:val="uk-UA" w:eastAsia="ru-RU"/>
        </w:rPr>
        <w:t>проекту рішення</w:t>
      </w:r>
      <w:r>
        <w:rPr>
          <w:rFonts w:ascii="Times New Roman" w:eastAsia="Times New Roman" w:hAnsi="Times New Roman" w:cs="Times New Roman"/>
          <w:sz w:val="24"/>
          <w:szCs w:val="24"/>
          <w:u w:val="single"/>
          <w:lang w:val="uk-UA" w:eastAsia="ru-RU"/>
        </w:rPr>
        <w:t> </w:t>
      </w:r>
      <w:r>
        <w:rPr>
          <w:rFonts w:ascii="Times New Roman" w:eastAsia="Times New Roman" w:hAnsi="Times New Roman" w:cs="Times New Roman"/>
          <w:b/>
          <w:bCs/>
          <w:sz w:val="24"/>
          <w:szCs w:val="24"/>
          <w:u w:val="single"/>
          <w:lang w:val="uk-UA" w:eastAsia="ru-RU"/>
        </w:rPr>
        <w:t xml:space="preserve">Ходорівської міської  ради </w:t>
      </w:r>
      <w:r>
        <w:rPr>
          <w:rFonts w:ascii="Times New Roman" w:eastAsia="Times New Roman" w:hAnsi="Times New Roman" w:cs="Times New Roman"/>
          <w:bCs/>
          <w:sz w:val="24"/>
          <w:szCs w:val="24"/>
          <w:u w:val="single"/>
          <w:lang w:val="uk-UA" w:eastAsia="ru-RU"/>
        </w:rPr>
        <w:t>«</w:t>
      </w:r>
      <w:r>
        <w:rPr>
          <w:rFonts w:ascii="Times New Roman" w:eastAsia="Times New Roman" w:hAnsi="Times New Roman" w:cs="Times New Roman"/>
          <w:b/>
          <w:sz w:val="24"/>
          <w:szCs w:val="24"/>
          <w:u w:val="single"/>
          <w:lang w:val="uk-UA"/>
        </w:rPr>
        <w:t xml:space="preserve">Про встановлення плати за оренду землі на території Ходорівської </w:t>
      </w:r>
      <w:r>
        <w:rPr>
          <w:rFonts w:ascii="Times New Roman" w:hAnsi="Times New Roman"/>
          <w:b/>
          <w:sz w:val="24"/>
          <w:szCs w:val="24"/>
          <w:u w:val="single"/>
          <w:lang w:val="uk-UA" w:eastAsia="uk-UA"/>
        </w:rPr>
        <w:t xml:space="preserve">міської </w:t>
      </w:r>
      <w:r>
        <w:rPr>
          <w:rFonts w:ascii="Times New Roman" w:eastAsia="Times New Roman" w:hAnsi="Times New Roman" w:cs="Times New Roman"/>
          <w:b/>
          <w:sz w:val="24"/>
          <w:szCs w:val="24"/>
          <w:u w:val="single"/>
          <w:lang w:val="uk-UA"/>
        </w:rPr>
        <w:t xml:space="preserve"> територіальної громади на 2022рік</w:t>
      </w:r>
      <w:r>
        <w:rPr>
          <w:rFonts w:ascii="Times New Roman" w:hAnsi="Times New Roman" w:cs="Times New Roman"/>
          <w:sz w:val="24"/>
          <w:szCs w:val="24"/>
          <w:u w:val="single"/>
          <w:lang w:val="uk-UA" w:eastAsia="uk-UA"/>
        </w:rPr>
        <w:t>»</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rsidR="00DF72ED" w:rsidRDefault="00DF72ED" w:rsidP="00DF72ED">
      <w:pPr>
        <w:shd w:val="clear" w:color="auto" w:fill="FFFFFF"/>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i/>
          <w:iCs/>
          <w:sz w:val="24"/>
          <w:szCs w:val="24"/>
          <w:lang w:val="uk-UA" w:eastAsia="ru-RU"/>
        </w:rPr>
        <w:t>Назва регуляторного акта:</w:t>
      </w:r>
      <w:r>
        <w:rPr>
          <w:rFonts w:ascii="Times New Roman" w:eastAsia="Times New Roman" w:hAnsi="Times New Roman" w:cs="Times New Roman"/>
          <w:sz w:val="24"/>
          <w:szCs w:val="24"/>
          <w:lang w:val="uk-UA" w:eastAsia="ru-RU"/>
        </w:rPr>
        <w:t> «</w:t>
      </w:r>
      <w:r>
        <w:rPr>
          <w:rFonts w:ascii="Times New Roman" w:eastAsia="Times New Roman" w:hAnsi="Times New Roman" w:cs="Times New Roman"/>
          <w:b/>
          <w:sz w:val="24"/>
          <w:szCs w:val="24"/>
          <w:lang w:val="uk-UA"/>
        </w:rPr>
        <w:t>Про встановлення плати за оренду землі на території Ходорівської  територіальної громади на 2022 рік</w:t>
      </w:r>
      <w:r>
        <w:rPr>
          <w:rFonts w:ascii="Times New Roman" w:hAnsi="Times New Roman" w:cs="Times New Roman"/>
          <w:sz w:val="24"/>
          <w:szCs w:val="24"/>
          <w:lang w:val="uk-UA" w:eastAsia="uk-UA"/>
        </w:rPr>
        <w:t>»</w:t>
      </w:r>
      <w:r>
        <w:rPr>
          <w:rFonts w:ascii="Times New Roman" w:eastAsia="Times New Roman" w:hAnsi="Times New Roman" w:cs="Times New Roman"/>
          <w:sz w:val="24"/>
          <w:szCs w:val="24"/>
          <w:lang w:val="uk-UA" w:eastAsia="ru-RU"/>
        </w:rPr>
        <w:t>.</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i/>
          <w:iCs/>
          <w:sz w:val="24"/>
          <w:szCs w:val="24"/>
          <w:lang w:val="uk-UA" w:eastAsia="ru-RU"/>
        </w:rPr>
        <w:t>Регуляторний орган:</w:t>
      </w:r>
      <w:proofErr w:type="spellStart"/>
      <w:r>
        <w:rPr>
          <w:rFonts w:ascii="Times New Roman" w:eastAsia="Times New Roman" w:hAnsi="Times New Roman" w:cs="Times New Roman"/>
          <w:sz w:val="24"/>
          <w:szCs w:val="24"/>
          <w:lang w:val="uk-UA" w:eastAsia="ru-RU"/>
        </w:rPr>
        <w:t> Ходорівськ</w:t>
      </w:r>
      <w:proofErr w:type="spellEnd"/>
      <w:r>
        <w:rPr>
          <w:rFonts w:ascii="Times New Roman" w:eastAsia="Times New Roman" w:hAnsi="Times New Roman" w:cs="Times New Roman"/>
          <w:sz w:val="24"/>
          <w:szCs w:val="24"/>
          <w:lang w:val="uk-UA" w:eastAsia="ru-RU"/>
        </w:rPr>
        <w:t>а міська рада.</w:t>
      </w:r>
    </w:p>
    <w:p w:rsidR="00DF72ED" w:rsidRDefault="00DF72ED" w:rsidP="00DF72ED">
      <w:pPr>
        <w:pStyle w:val="a3"/>
        <w:jc w:val="both"/>
        <w:rPr>
          <w:rFonts w:ascii="Times New Roman" w:hAnsi="Times New Roman" w:cs="Times New Roman"/>
          <w:sz w:val="24"/>
          <w:szCs w:val="24"/>
          <w:lang w:val="uk-UA" w:eastAsia="uk-UA"/>
        </w:rPr>
      </w:pPr>
      <w:r>
        <w:rPr>
          <w:rFonts w:ascii="Times New Roman" w:eastAsia="Times New Roman" w:hAnsi="Times New Roman" w:cs="Times New Roman"/>
          <w:b/>
          <w:bCs/>
          <w:i/>
          <w:iCs/>
          <w:sz w:val="24"/>
          <w:szCs w:val="24"/>
          <w:lang w:val="uk-UA" w:eastAsia="ru-RU"/>
        </w:rPr>
        <w:t>Розробник: </w:t>
      </w:r>
      <w:r>
        <w:rPr>
          <w:rFonts w:ascii="Times New Roman" w:hAnsi="Times New Roman" w:cs="Times New Roman"/>
          <w:sz w:val="24"/>
          <w:szCs w:val="24"/>
          <w:lang w:val="uk-UA" w:eastAsia="uk-UA"/>
        </w:rPr>
        <w:t>відділ земельних ресурсів виконавчого комітету міської ради.</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rsidR="00DF72ED" w:rsidRDefault="00DF72ED" w:rsidP="00DF72ED">
      <w:pPr>
        <w:numPr>
          <w:ilvl w:val="0"/>
          <w:numId w:val="1"/>
        </w:num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uk-UA" w:eastAsia="ru-RU"/>
        </w:rPr>
        <w:t>Визначення і аналіз проблеми, яку передбачається вирішити</w:t>
      </w:r>
    </w:p>
    <w:p w:rsidR="00DF72ED" w:rsidRDefault="00DF72ED" w:rsidP="00DF72ED">
      <w:pPr>
        <w:shd w:val="clear" w:color="auto" w:fill="FFFFFF"/>
        <w:spacing w:after="0" w:line="240" w:lineRule="auto"/>
        <w:rPr>
          <w:rFonts w:ascii="Times New Roman" w:eastAsia="Times New Roman" w:hAnsi="Times New Roman" w:cs="Times New Roman"/>
          <w:sz w:val="24"/>
          <w:szCs w:val="24"/>
          <w:lang w:eastAsia="ru-RU"/>
        </w:rPr>
      </w:pP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Цей регуляторний акт встановлює орендну плату за земельні ділянки, визначає об’єкти орендарів, платників оренди, розмір ставок.</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Податковим кодексом встановлено, що органи місцевого самоврядування приймають рішення про встановлення місцевих податків та зборів та офіційно оприлюднюють до 15 липня року , що передує бюджетному періоду, в якому планується їх застосування.</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Відповідно до п.12.3.5. ст.12 Податкового кодексу України, якщо Ходорівська міська ТГ 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України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Місцеві податки та збори зараховуються в повному обсязі до місцевого бюджету, та відповідно до діючого законодавства є джерелом формування загального фонду бюджету об’єднаної територіальної громади, забезпечують збалансованість дохідної частини бюджету та задоволення нагальних потреб територіальної громади. Кошти від їх надходження спрямовуються на забезпечення діяльності функціонування бюджетних установ, благоустрою громади , виконання програм нашої громади. </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Виходячи з вищенаведеного, з метою безумовного виконання Податкового кодексу України, недопущення суперечливих ситуацій, забезпеченням дохідної частини місцевого бюджету, виконання програм, міська рада повинна прийняти рішення про ставки орендної плати.</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У разі не прийняття рішення про встановлення ставок орендної плати на 2022рік орендна плата спрявлятимуться за мінімальними ставками, що спричинить втрати дохідної частини бюджету. Як наслідок буде не профінансовано спланованих видатків.</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Аналіз втрат до місцевого бюджету:</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Плата за землю у разі прийняття рішення (ставка орендної плати) від 3,0% до 12% в розмірі 5 248 678,58 грн.,</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Плата за землю у разі не прийняття рішення (ставка орендної плати) від 3,0% до 12% в розмірі 0 грн.</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Разом з тим, при прийнятті рішення необхідно забезпечити баланс інтересів суб’єктів господарювання, громадян та органу місцевого самоврядування,</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Важливість проблеми при затвердженні орендної плати за землю полягає в необхідності наповнення місцевого бюджету та спрямування отриманих коштів від орендної сплати на вирішення соціально-економічних проблем громади, благоустрій населених пунктів, покращення інфраструктури.</w:t>
      </w:r>
    </w:p>
    <w:p w:rsidR="00DF72ED" w:rsidRDefault="00DF72ED" w:rsidP="00DF72ED">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Основні групи на які проблема справляє вплив:</w:t>
      </w:r>
    </w:p>
    <w:tbl>
      <w:tblPr>
        <w:tblStyle w:val="a5"/>
        <w:tblW w:w="0" w:type="auto"/>
        <w:tblInd w:w="0" w:type="dxa"/>
        <w:tblLook w:val="04A0" w:firstRow="1" w:lastRow="0" w:firstColumn="1" w:lastColumn="0" w:noHBand="0" w:noVBand="1"/>
      </w:tblPr>
      <w:tblGrid>
        <w:gridCol w:w="2943"/>
        <w:gridCol w:w="6628"/>
      </w:tblGrid>
      <w:tr w:rsidR="00DF72ED" w:rsidTr="00DF72ED">
        <w:tc>
          <w:tcPr>
            <w:tcW w:w="294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Групи (підгрупи)</w:t>
            </w:r>
          </w:p>
        </w:tc>
        <w:tc>
          <w:tcPr>
            <w:tcW w:w="662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Так / ні</w:t>
            </w:r>
          </w:p>
        </w:tc>
      </w:tr>
      <w:tr w:rsidR="00DF72ED" w:rsidTr="00DF72ED">
        <w:trPr>
          <w:trHeight w:val="109"/>
        </w:trPr>
        <w:tc>
          <w:tcPr>
            <w:tcW w:w="294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Громадяни</w:t>
            </w:r>
          </w:p>
        </w:tc>
        <w:tc>
          <w:tcPr>
            <w:tcW w:w="662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так</w:t>
            </w:r>
          </w:p>
        </w:tc>
      </w:tr>
      <w:tr w:rsidR="00DF72ED" w:rsidTr="00DF72ED">
        <w:trPr>
          <w:trHeight w:val="163"/>
        </w:trPr>
        <w:tc>
          <w:tcPr>
            <w:tcW w:w="294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Держава </w:t>
            </w:r>
          </w:p>
        </w:tc>
        <w:tc>
          <w:tcPr>
            <w:tcW w:w="662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так</w:t>
            </w:r>
          </w:p>
        </w:tc>
      </w:tr>
      <w:tr w:rsidR="00DF72ED" w:rsidTr="00DF72ED">
        <w:tc>
          <w:tcPr>
            <w:tcW w:w="294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Суб'єкти господарювання, у тому числі суб’єкти малого підприємництва</w:t>
            </w:r>
          </w:p>
        </w:tc>
        <w:tc>
          <w:tcPr>
            <w:tcW w:w="662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так</w:t>
            </w:r>
          </w:p>
        </w:tc>
      </w:tr>
    </w:tbl>
    <w:p w:rsidR="00DF72ED" w:rsidRDefault="00DF72ED" w:rsidP="00DF72ED">
      <w:pPr>
        <w:shd w:val="clear" w:color="auto" w:fill="FFFFFF"/>
        <w:spacing w:after="0" w:line="240" w:lineRule="auto"/>
        <w:rPr>
          <w:rFonts w:ascii="Times New Roman" w:eastAsia="Times New Roman" w:hAnsi="Times New Roman" w:cs="Times New Roman"/>
          <w:bCs/>
          <w:sz w:val="24"/>
          <w:szCs w:val="24"/>
          <w:lang w:val="uk-UA" w:eastAsia="ru-RU"/>
        </w:rPr>
      </w:pPr>
      <w:bookmarkStart w:id="0" w:name="_GoBack"/>
      <w:bookmarkEnd w:id="0"/>
      <w:r>
        <w:rPr>
          <w:rFonts w:ascii="Times New Roman" w:eastAsia="Times New Roman" w:hAnsi="Times New Roman" w:cs="Times New Roman"/>
          <w:bCs/>
          <w:sz w:val="24"/>
          <w:szCs w:val="24"/>
          <w:lang w:val="uk-UA" w:eastAsia="ru-RU"/>
        </w:rPr>
        <w:lastRenderedPageBreak/>
        <w:t>Обґрунтування неможливості вирішення проблеми за допомогою ринкових механізмів:</w:t>
      </w:r>
    </w:p>
    <w:p w:rsidR="00DF72ED" w:rsidRDefault="00DF72ED" w:rsidP="00DF72ED">
      <w:pPr>
        <w:shd w:val="clear" w:color="auto" w:fill="FFFFFF"/>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Застосування ринкових механізмів для вирішення вказаної проблеми не є можливим , оскільки  здійснення вищезазначених заходів є</w:t>
      </w:r>
    </w:p>
    <w:p w:rsidR="00DF72ED" w:rsidRDefault="00DF72ED" w:rsidP="00DF72ED">
      <w:pPr>
        <w:shd w:val="clear" w:color="auto" w:fill="FFFFFF"/>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 Засобом державного регулювання та відповідно до ПКУ є компетенцією Ходорівської міської ради.</w:t>
      </w:r>
    </w:p>
    <w:p w:rsidR="00DF72ED" w:rsidRDefault="00DF72ED" w:rsidP="00DF72ED">
      <w:pPr>
        <w:shd w:val="clear" w:color="auto" w:fill="FFFFFF"/>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Обґрунтування не можливості вирішення проблеми за допомогою діючих регуляторних актів:</w:t>
      </w:r>
    </w:p>
    <w:p w:rsidR="00DF72ED" w:rsidRDefault="00DF72ED" w:rsidP="00DF72ED">
      <w:pPr>
        <w:shd w:val="clear" w:color="auto" w:fill="FFFFFF"/>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Зазначена проблема не може бути вирішена за допомогою діючих регуляторних актів, оскільки ставки орендної плати затверджені рішенням сесії Ходорівської міської ради.</w:t>
      </w:r>
    </w:p>
    <w:p w:rsidR="00DF72ED" w:rsidRDefault="00DF72ED" w:rsidP="00DF72ED">
      <w:pPr>
        <w:shd w:val="clear" w:color="auto" w:fill="FFFFFF"/>
        <w:spacing w:after="0" w:line="240" w:lineRule="auto"/>
        <w:jc w:val="center"/>
        <w:rPr>
          <w:rFonts w:ascii="Times New Roman" w:eastAsia="Times New Roman" w:hAnsi="Times New Roman" w:cs="Times New Roman"/>
          <w:b/>
          <w:bCs/>
          <w:sz w:val="24"/>
          <w:szCs w:val="24"/>
          <w:lang w:val="uk-UA" w:eastAsia="ru-RU"/>
        </w:rPr>
      </w:pPr>
    </w:p>
    <w:p w:rsidR="00DF72ED" w:rsidRDefault="00DF72ED" w:rsidP="00DF72ED">
      <w:pPr>
        <w:shd w:val="clear" w:color="auto" w:fill="FFFFFF"/>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2.Цілі регулювання</w:t>
      </w:r>
    </w:p>
    <w:p w:rsidR="00DF72ED" w:rsidRDefault="00DF72ED" w:rsidP="00DF72ED">
      <w:pPr>
        <w:shd w:val="clear" w:color="auto" w:fill="FFFFFF"/>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Цілі державного регулювання, безпосередньо пов’язані з розв’язанням проблеми:</w:t>
      </w:r>
    </w:p>
    <w:p w:rsidR="00DF72ED" w:rsidRDefault="00DF72ED" w:rsidP="00DF72ED">
      <w:pPr>
        <w:shd w:val="clear" w:color="auto" w:fill="FFFFFF"/>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Проект регуляторного акта спрямований на розв’язання проблеми, визначеної в попередньому розділі.</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Цілями регулювання є:</w:t>
      </w:r>
    </w:p>
    <w:p w:rsidR="00DF72ED" w:rsidRDefault="00DF72ED" w:rsidP="00DF72ED">
      <w:pPr>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безумовне виконання норм чинного законодавства;</w:t>
      </w:r>
    </w:p>
    <w:p w:rsidR="00DF72ED" w:rsidRDefault="00DF72ED" w:rsidP="00DF72ED">
      <w:pPr>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встановлення ставок за оренду землі;</w:t>
      </w:r>
    </w:p>
    <w:p w:rsidR="00DF72ED" w:rsidRDefault="00DF72ED" w:rsidP="00DF72ED">
      <w:pPr>
        <w:numPr>
          <w:ilvl w:val="0"/>
          <w:numId w:val="2"/>
        </w:num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отримання додаткових коштів до місцевого бюджету та направлення їх на втілення програм соціально-економічного розвитку, збільшення фінансування соціальної сфери.</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pStyle w:val="a4"/>
        <w:numPr>
          <w:ilvl w:val="0"/>
          <w:numId w:val="3"/>
        </w:numPr>
        <w:shd w:val="clear" w:color="auto" w:fill="FFFFFF"/>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Визначення та оцінка усіх прийнятих альтернативних способів досягнення встановлених цілей </w:t>
      </w:r>
    </w:p>
    <w:p w:rsidR="00DF72ED" w:rsidRDefault="00DF72ED" w:rsidP="00DF72ED">
      <w:pPr>
        <w:pStyle w:val="a4"/>
        <w:shd w:val="clear" w:color="auto" w:fill="FFFFFF"/>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Визначення альтернативних способів</w:t>
      </w:r>
    </w:p>
    <w:tbl>
      <w:tblPr>
        <w:tblStyle w:val="a5"/>
        <w:tblW w:w="0" w:type="auto"/>
        <w:tblInd w:w="0" w:type="dxa"/>
        <w:tblLook w:val="04A0" w:firstRow="1" w:lastRow="0" w:firstColumn="1" w:lastColumn="0" w:noHBand="0" w:noVBand="1"/>
      </w:tblPr>
      <w:tblGrid>
        <w:gridCol w:w="2235"/>
        <w:gridCol w:w="7336"/>
      </w:tblGrid>
      <w:tr w:rsidR="00DF72ED" w:rsidTr="00DF72ED">
        <w:tc>
          <w:tcPr>
            <w:tcW w:w="223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Вид альтернативи</w:t>
            </w:r>
          </w:p>
        </w:tc>
        <w:tc>
          <w:tcPr>
            <w:tcW w:w="7336"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Опис альтернативи</w:t>
            </w:r>
          </w:p>
        </w:tc>
      </w:tr>
      <w:tr w:rsidR="00DF72ED" w:rsidTr="00DF72ED">
        <w:tc>
          <w:tcPr>
            <w:tcW w:w="2235" w:type="dxa"/>
            <w:tcBorders>
              <w:top w:val="single" w:sz="4" w:space="0" w:color="auto"/>
              <w:left w:val="single" w:sz="4" w:space="0" w:color="auto"/>
              <w:bottom w:val="single" w:sz="4" w:space="0" w:color="auto"/>
              <w:right w:val="single" w:sz="4" w:space="0" w:color="auto"/>
            </w:tcBorders>
            <w:hideMark/>
          </w:tcPr>
          <w:p w:rsidR="00DF72ED" w:rsidRDefault="00DF72ED">
            <w:pPr>
              <w:pStyle w:val="a4"/>
              <w:numPr>
                <w:ilvl w:val="0"/>
                <w:numId w:val="4"/>
              </w:numPr>
              <w:ind w:left="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Не виносити на розгляд сесії міської ради  та не приймати рішення про ставки орендної плати за землю на 2022рік</w:t>
            </w:r>
          </w:p>
        </w:tc>
        <w:tc>
          <w:tcPr>
            <w:tcW w:w="7336"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Залишення питання неврегульованим, означає недоотримання додаткових надходжень від сплати місцевих податків та зборів, неможливість направлення додаткових коштів на здійснення програм соціально-економічного та культурного розвитку, зменшення фінансування соціальної сфери та порушення чинного законодавства України. Альтернатива є неприйнятною, оскільки не допомагає вирішити проблему.</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Очікувані втрати місцевого бюджету в результаті не прийняття рішення про ставки орендної плати на 2022рік становлять 0 грн, що не дозволить профінансувати заплановані видатки. </w:t>
            </w:r>
          </w:p>
        </w:tc>
      </w:tr>
      <w:tr w:rsidR="00DF72ED" w:rsidTr="00DF72ED">
        <w:tc>
          <w:tcPr>
            <w:tcW w:w="2235" w:type="dxa"/>
            <w:tcBorders>
              <w:top w:val="single" w:sz="4" w:space="0" w:color="auto"/>
              <w:left w:val="single" w:sz="4" w:space="0" w:color="auto"/>
              <w:bottom w:val="single" w:sz="4" w:space="0" w:color="auto"/>
              <w:right w:val="single" w:sz="4" w:space="0" w:color="auto"/>
            </w:tcBorders>
            <w:hideMark/>
          </w:tcPr>
          <w:p w:rsidR="00DF72ED" w:rsidRDefault="00DF72ED">
            <w:pPr>
              <w:pStyle w:val="a4"/>
              <w:numPr>
                <w:ilvl w:val="0"/>
                <w:numId w:val="4"/>
              </w:numPr>
              <w:ind w:left="0"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Прийняти рішення про ставки орендної плати за землю на 2022рік у запропонованому вигляді.</w:t>
            </w:r>
          </w:p>
        </w:tc>
        <w:tc>
          <w:tcPr>
            <w:tcW w:w="7336"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Прийняття цього рішення забезпечить досягнення встановлених цілей, чітких та прозорих механізмів справляння та сплати орендної плати за землю на території територіальної громади та відповідне наповнення місцевого бюджету.</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Забезпечить фінансову основу самостійності органу місцевого самоврядування. До бюджету територіальної громади орієнтовно надійде 5 248 678,58 грн., що дозволить профінансувати заплановані видатки.</w:t>
            </w:r>
          </w:p>
        </w:tc>
      </w:tr>
    </w:tbl>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 таких обставин, перевага віддана другому способу, оскільки досягнути вищезазначеної мети можливо у найбільш короткий термін з врахуванням особливостей роботи міської  ради, її виконавчих органів, </w:t>
      </w:r>
      <w:proofErr w:type="spellStart"/>
      <w:r>
        <w:rPr>
          <w:rFonts w:ascii="Times New Roman" w:eastAsia="Times New Roman" w:hAnsi="Times New Roman" w:cs="Times New Roman"/>
          <w:sz w:val="24"/>
          <w:szCs w:val="24"/>
          <w:lang w:val="uk-UA" w:eastAsia="ru-RU"/>
        </w:rPr>
        <w:t>органів</w:t>
      </w:r>
      <w:proofErr w:type="spellEnd"/>
      <w:r>
        <w:rPr>
          <w:rFonts w:ascii="Times New Roman" w:eastAsia="Times New Roman" w:hAnsi="Times New Roman" w:cs="Times New Roman"/>
          <w:sz w:val="24"/>
          <w:szCs w:val="24"/>
          <w:lang w:val="uk-UA" w:eastAsia="ru-RU"/>
        </w:rPr>
        <w:t xml:space="preserve"> фіскальної служби.</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pStyle w:val="a4"/>
        <w:numPr>
          <w:ilvl w:val="0"/>
          <w:numId w:val="3"/>
        </w:numPr>
        <w:shd w:val="clear" w:color="auto" w:fill="FFFFFF"/>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Оцінка вибраних альтернативних способів досягнення цілей</w:t>
      </w:r>
    </w:p>
    <w:p w:rsidR="00DF72ED" w:rsidRDefault="00DF72ED" w:rsidP="00DF72ED">
      <w:pPr>
        <w:pStyle w:val="a4"/>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Оцінка впливу на сферу інтересів органів місцевого самоврядування</w:t>
      </w:r>
    </w:p>
    <w:tbl>
      <w:tblPr>
        <w:tblStyle w:val="a5"/>
        <w:tblW w:w="0" w:type="auto"/>
        <w:tblInd w:w="0" w:type="dxa"/>
        <w:tblLook w:val="04A0" w:firstRow="1" w:lastRow="0" w:firstColumn="1" w:lastColumn="0" w:noHBand="0" w:noVBand="1"/>
      </w:tblPr>
      <w:tblGrid>
        <w:gridCol w:w="2093"/>
        <w:gridCol w:w="3118"/>
        <w:gridCol w:w="4360"/>
      </w:tblGrid>
      <w:tr w:rsidR="00DF72ED" w:rsidTr="00DF72ED">
        <w:tc>
          <w:tcPr>
            <w:tcW w:w="20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Вид альтернативи</w:t>
            </w:r>
          </w:p>
        </w:tc>
        <w:tc>
          <w:tcPr>
            <w:tcW w:w="311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вигоди</w:t>
            </w:r>
          </w:p>
        </w:tc>
        <w:tc>
          <w:tcPr>
            <w:tcW w:w="436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w:t>
            </w:r>
          </w:p>
        </w:tc>
      </w:tr>
      <w:tr w:rsidR="00DF72ED" w:rsidTr="00DF72ED">
        <w:tc>
          <w:tcPr>
            <w:tcW w:w="2093" w:type="dxa"/>
            <w:tcBorders>
              <w:top w:val="single" w:sz="4" w:space="0" w:color="auto"/>
              <w:left w:val="single" w:sz="4" w:space="0" w:color="auto"/>
              <w:bottom w:val="single" w:sz="4" w:space="0" w:color="auto"/>
              <w:right w:val="single" w:sz="4" w:space="0" w:color="auto"/>
            </w:tcBorders>
            <w:hideMark/>
          </w:tcPr>
          <w:p w:rsidR="00DF72ED" w:rsidRDefault="00DF72ED">
            <w:pPr>
              <w:pStyle w:val="a4"/>
              <w:ind w:left="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1</w:t>
            </w:r>
          </w:p>
        </w:tc>
        <w:tc>
          <w:tcPr>
            <w:tcW w:w="311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відсутні</w:t>
            </w:r>
          </w:p>
        </w:tc>
        <w:tc>
          <w:tcPr>
            <w:tcW w:w="436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Втрати місцевого бюджету у </w:t>
            </w:r>
            <w:proofErr w:type="spellStart"/>
            <w:r>
              <w:rPr>
                <w:rFonts w:ascii="Times New Roman" w:eastAsia="Times New Roman" w:hAnsi="Times New Roman" w:cs="Times New Roman"/>
                <w:sz w:val="24"/>
                <w:szCs w:val="24"/>
                <w:lang w:val="uk-UA" w:eastAsia="ru-RU"/>
              </w:rPr>
              <w:t>сум</w:t>
            </w:r>
            <w:proofErr w:type="spellEnd"/>
            <w:r>
              <w:rPr>
                <w:rFonts w:ascii="Times New Roman" w:eastAsia="Times New Roman" w:hAnsi="Times New Roman" w:cs="Times New Roman"/>
                <w:sz w:val="24"/>
                <w:szCs w:val="24"/>
                <w:lang w:val="uk-UA" w:eastAsia="ru-RU"/>
              </w:rPr>
              <w:t xml:space="preserve">і_грн за рахунок сплати орендної плати за мінімальними ставками </w:t>
            </w:r>
          </w:p>
        </w:tc>
      </w:tr>
      <w:tr w:rsidR="00DF72ED" w:rsidTr="00DF72ED">
        <w:tc>
          <w:tcPr>
            <w:tcW w:w="20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2</w:t>
            </w:r>
          </w:p>
        </w:tc>
        <w:tc>
          <w:tcPr>
            <w:tcW w:w="3118"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1.Забезпечить дотримання </w:t>
            </w:r>
            <w:r>
              <w:rPr>
                <w:rFonts w:ascii="Times New Roman" w:eastAsia="Times New Roman" w:hAnsi="Times New Roman" w:cs="Times New Roman"/>
                <w:sz w:val="24"/>
                <w:szCs w:val="24"/>
                <w:lang w:val="uk-UA" w:eastAsia="ru-RU"/>
              </w:rPr>
              <w:lastRenderedPageBreak/>
              <w:t>вимог діючого законодавства, реалізацію наданих органам місцевого самоврядування повноважень.</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Забезпечення відповідних надходжень до бюджету об’єднаної громади від орендної сплати.</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 створить сприятливі фінансові можливості міської ради для задоволення соціальних та інших потреб громади.</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 вдосконалить відносини між місцевою владою та суб'єктами підприємницької діяльності.</w:t>
            </w:r>
          </w:p>
        </w:tc>
        <w:tc>
          <w:tcPr>
            <w:tcW w:w="436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відсутні</w:t>
            </w:r>
          </w:p>
        </w:tc>
      </w:tr>
      <w:tr w:rsidR="00DF72ED" w:rsidTr="00DF72ED">
        <w:tc>
          <w:tcPr>
            <w:tcW w:w="20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Альтернатива 3</w:t>
            </w:r>
          </w:p>
        </w:tc>
        <w:tc>
          <w:tcPr>
            <w:tcW w:w="3118" w:type="dxa"/>
            <w:tcBorders>
              <w:top w:val="single" w:sz="4" w:space="0" w:color="auto"/>
              <w:left w:val="single" w:sz="4" w:space="0" w:color="auto"/>
              <w:bottom w:val="single" w:sz="4" w:space="0" w:color="auto"/>
              <w:right w:val="single" w:sz="4" w:space="0" w:color="auto"/>
            </w:tcBorders>
            <w:hideMark/>
          </w:tcPr>
          <w:p w:rsidR="00DF72ED" w:rsidRDefault="00DF72ED">
            <w:pPr>
              <w:pStyle w:val="a4"/>
              <w:numPr>
                <w:ilvl w:val="0"/>
                <w:numId w:val="5"/>
              </w:numPr>
              <w:ind w:left="0"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Забезпечення додаткових надходжень до бюджету територіальної громади від сплати орендної плати.</w:t>
            </w:r>
          </w:p>
          <w:p w:rsidR="00DF72ED" w:rsidRDefault="00DF72ED">
            <w:pPr>
              <w:pStyle w:val="a4"/>
              <w:numPr>
                <w:ilvl w:val="0"/>
                <w:numId w:val="5"/>
              </w:numPr>
              <w:ind w:left="0"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Створення значних фінансових можливостей міської влади для задоволення соціальних та інших потреб територіальної громади. </w:t>
            </w:r>
          </w:p>
        </w:tc>
        <w:tc>
          <w:tcPr>
            <w:tcW w:w="436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Існування ризику переходу діяльності суб’єктів господарювання в «тінь» та несплата податків. </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Підвищення соціальної напруги, що призведе до нерозуміння між міською владою та фізичними особами – підприємцями, негативний вплив на довіру до влади.</w:t>
            </w:r>
          </w:p>
        </w:tc>
      </w:tr>
    </w:tbl>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pStyle w:val="a4"/>
        <w:numPr>
          <w:ilvl w:val="0"/>
          <w:numId w:val="3"/>
        </w:numPr>
        <w:shd w:val="clear" w:color="auto" w:fill="FFFFFF"/>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Оцінка впливу на сферу інтересів громадян.</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tbl>
      <w:tblPr>
        <w:tblStyle w:val="a5"/>
        <w:tblW w:w="0" w:type="auto"/>
        <w:tblInd w:w="0" w:type="dxa"/>
        <w:tblLook w:val="04A0" w:firstRow="1" w:lastRow="0" w:firstColumn="1" w:lastColumn="0" w:noHBand="0" w:noVBand="1"/>
      </w:tblPr>
      <w:tblGrid>
        <w:gridCol w:w="1951"/>
        <w:gridCol w:w="4429"/>
        <w:gridCol w:w="3191"/>
      </w:tblGrid>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Вид альтернативи</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вигоди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w:t>
            </w:r>
          </w:p>
        </w:tc>
      </w:tr>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1</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Сплата орендної плати за землю за мінімальними ставками передбаченими за Податковим кодексом України.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 пов’язані лише з платою за землю.</w:t>
            </w:r>
          </w:p>
        </w:tc>
      </w:tr>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pStyle w:val="a4"/>
              <w:ind w:left="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Альтернатива 2 </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Вирішення соціально - економічних проблем громади за рахунок наповнення дохідної частини місцевого бюджету.</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Сплата орендної плати за встановленими ставками.</w:t>
            </w:r>
          </w:p>
        </w:tc>
      </w:tr>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3</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Вирішення більшої кількості соціальних потреб за рахунок значного зростання дохідної частини міського бюджету.</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Надмірне податкове навантаження призведе до несвоєчасної сплати орендної плати, а це в свою чергу до нарахування пені та штрафних санкцій.</w:t>
            </w:r>
          </w:p>
        </w:tc>
      </w:tr>
    </w:tbl>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pStyle w:val="a4"/>
        <w:numPr>
          <w:ilvl w:val="0"/>
          <w:numId w:val="3"/>
        </w:numPr>
        <w:shd w:val="clear" w:color="auto" w:fill="FFFFFF"/>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Оцінка впливу на сферу інтересів суб’єктів господарювання</w:t>
      </w:r>
    </w:p>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tbl>
      <w:tblPr>
        <w:tblStyle w:val="a5"/>
        <w:tblW w:w="0" w:type="auto"/>
        <w:tblInd w:w="0" w:type="dxa"/>
        <w:tblLook w:val="04A0" w:firstRow="1" w:lastRow="0" w:firstColumn="1" w:lastColumn="0" w:noHBand="0" w:noVBand="1"/>
      </w:tblPr>
      <w:tblGrid>
        <w:gridCol w:w="1966"/>
        <w:gridCol w:w="1526"/>
        <w:gridCol w:w="1528"/>
        <w:gridCol w:w="1513"/>
        <w:gridCol w:w="1526"/>
        <w:gridCol w:w="1512"/>
      </w:tblGrid>
      <w:tr w:rsidR="00DF72ED" w:rsidTr="00DF72ED">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показник</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великі</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середні</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малі</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мікро</w:t>
            </w:r>
          </w:p>
        </w:tc>
        <w:tc>
          <w:tcPr>
            <w:tcW w:w="1596"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разом</w:t>
            </w:r>
          </w:p>
        </w:tc>
      </w:tr>
      <w:tr w:rsidR="00DF72ED" w:rsidTr="00DF72ED">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Кількість суб’єктів </w:t>
            </w:r>
            <w:r>
              <w:rPr>
                <w:rFonts w:ascii="Times New Roman" w:eastAsia="Times New Roman" w:hAnsi="Times New Roman" w:cs="Times New Roman"/>
                <w:sz w:val="24"/>
                <w:szCs w:val="24"/>
                <w:lang w:val="uk-UA" w:eastAsia="ru-RU"/>
              </w:rPr>
              <w:lastRenderedPageBreak/>
              <w:t>господарювання, що підпадають під дію регулювання, одиниць</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13</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p>
        </w:tc>
        <w:tc>
          <w:tcPr>
            <w:tcW w:w="1596"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w:t>
            </w:r>
          </w:p>
        </w:tc>
      </w:tr>
      <w:tr w:rsidR="00DF72ED" w:rsidTr="00DF72ED">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Питома вага групи у загальній кількості, відсотків</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19,40%</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8,95%</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10,5%</w:t>
            </w:r>
          </w:p>
        </w:tc>
        <w:tc>
          <w:tcPr>
            <w:tcW w:w="1595"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61,19%</w:t>
            </w:r>
          </w:p>
        </w:tc>
        <w:tc>
          <w:tcPr>
            <w:tcW w:w="1596"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w:t>
            </w:r>
          </w:p>
        </w:tc>
      </w:tr>
    </w:tbl>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tbl>
      <w:tblPr>
        <w:tblStyle w:val="a5"/>
        <w:tblW w:w="0" w:type="auto"/>
        <w:tblInd w:w="0" w:type="dxa"/>
        <w:tblLook w:val="04A0" w:firstRow="1" w:lastRow="0" w:firstColumn="1" w:lastColumn="0" w:noHBand="0" w:noVBand="1"/>
      </w:tblPr>
      <w:tblGrid>
        <w:gridCol w:w="1951"/>
        <w:gridCol w:w="4429"/>
        <w:gridCol w:w="3191"/>
      </w:tblGrid>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Вид альтернативи</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вигоди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w:t>
            </w:r>
          </w:p>
        </w:tc>
      </w:tr>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1</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Сплата орендної плати за мінімальними ставками, передбаченими ПКУ</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 пов’язані тільки із орендною платою за землю.</w:t>
            </w:r>
          </w:p>
        </w:tc>
      </w:tr>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2</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Сплата орендної плати за обґрунтованими ставками. Відкритість процедури, прозорість дій місцевого самоврядування. Вдосконалить відносини між місцевою владою та суб’єктами господарювання, пов’язаних зі справлянням орендної плати, оскільки враховані пропозиції суб’єктів підприємницької діяльності.</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Затрати часу, необхідні для ознайомлення з рішенням орендної плати.</w:t>
            </w:r>
          </w:p>
        </w:tc>
      </w:tr>
      <w:tr w:rsidR="00DF72ED" w:rsidTr="00DF72ED">
        <w:tc>
          <w:tcPr>
            <w:tcW w:w="195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3</w:t>
            </w:r>
          </w:p>
        </w:tc>
        <w:tc>
          <w:tcPr>
            <w:tcW w:w="442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відсутні</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рахунок прийняття максимальних ставок орендної плати спричинить надмірне навантаження (додаткові, непомірні витрати малого бізнесу).</w:t>
            </w:r>
          </w:p>
        </w:tc>
      </w:tr>
    </w:tbl>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p w:rsidR="00DF72ED" w:rsidRDefault="00DF72ED" w:rsidP="00DF72ED">
      <w:pPr>
        <w:pStyle w:val="a4"/>
        <w:numPr>
          <w:ilvl w:val="0"/>
          <w:numId w:val="3"/>
        </w:numPr>
        <w:shd w:val="clear" w:color="auto" w:fill="FFFFFF"/>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Вибір найбільш оптимального альтернативного способу досягнення цілей.</w:t>
      </w:r>
    </w:p>
    <w:tbl>
      <w:tblPr>
        <w:tblStyle w:val="a5"/>
        <w:tblW w:w="0" w:type="auto"/>
        <w:tblInd w:w="0" w:type="dxa"/>
        <w:tblLook w:val="04A0" w:firstRow="1" w:lastRow="0" w:firstColumn="1" w:lastColumn="0" w:noHBand="0" w:noVBand="1"/>
      </w:tblPr>
      <w:tblGrid>
        <w:gridCol w:w="3190"/>
        <w:gridCol w:w="3190"/>
        <w:gridCol w:w="3191"/>
      </w:tblGrid>
      <w:tr w:rsid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Рейтинг результативності (досягнення цілей під час вирішення проблеми)</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Бал результативності (за чотирибальною системою оцінки)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Коментарі щодо присвоєння відповідного бала</w:t>
            </w:r>
          </w:p>
        </w:tc>
      </w:tr>
      <w:tr w:rsid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1</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pStyle w:val="a4"/>
              <w:ind w:left="7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цілі прийняття регуляторного акта не можуть бути досягнуті                   (проблема продовжує існувати)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Така альтернатива є неприйнятною оскільки орендна плата за землю буде сплачуватися платниками відповідно до ПКУ за мінімальними ставками. </w:t>
            </w:r>
          </w:p>
        </w:tc>
      </w:tr>
      <w:tr w:rsidR="00DF72ED" w:rsidRP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2</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pStyle w:val="a4"/>
              <w:ind w:left="71" w:hanging="7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цілі прийняття проекту регуляторного акта можуть бути досягнуті майже повною мірою (усі важливі аспекти проблеми існувати не будуть)</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Прийняття даного рішення міської ради забезпечить досягнути встановлених цілей, чітких та прозорих механізмів справлян6ня та сплати орендної плати на території громади та відповідне наповнення місцевого бюджету.</w:t>
            </w:r>
          </w:p>
        </w:tc>
      </w:tr>
      <w:tr w:rsid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3</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цілі прийняття регуляторного акта будуть досягнуті частково </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Надмірне податкове навантаження на суб’єктів господарювання знівелює вигоди від збільшення </w:t>
            </w:r>
            <w:r>
              <w:rPr>
                <w:rFonts w:ascii="Times New Roman" w:eastAsia="Times New Roman" w:hAnsi="Times New Roman" w:cs="Times New Roman"/>
                <w:sz w:val="24"/>
                <w:szCs w:val="24"/>
                <w:lang w:val="uk-UA" w:eastAsia="ru-RU"/>
              </w:rPr>
              <w:lastRenderedPageBreak/>
              <w:t>дохідної частини бюджету, а саме існує ризик переходу суб’єктів господарювання в «тінь».</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Балансу інтересів досягнуто не буде.</w:t>
            </w:r>
          </w:p>
        </w:tc>
      </w:tr>
    </w:tbl>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tbl>
      <w:tblPr>
        <w:tblStyle w:val="a5"/>
        <w:tblW w:w="0" w:type="auto"/>
        <w:tblInd w:w="0" w:type="dxa"/>
        <w:tblLook w:val="04A0" w:firstRow="1" w:lastRow="0" w:firstColumn="1" w:lastColumn="0" w:noHBand="0" w:noVBand="1"/>
      </w:tblPr>
      <w:tblGrid>
        <w:gridCol w:w="2392"/>
        <w:gridCol w:w="2393"/>
        <w:gridCol w:w="2393"/>
        <w:gridCol w:w="2393"/>
      </w:tblGrid>
      <w:tr w:rsidR="00DF72ED" w:rsidTr="00DF72ED">
        <w:tc>
          <w:tcPr>
            <w:tcW w:w="2392"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Рейтинг результативності </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Вигоди (підсумок)</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Витрати (підсумок)</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Обґрунтування відповідного місця альтернати у рейтингу </w:t>
            </w:r>
          </w:p>
        </w:tc>
      </w:tr>
      <w:tr w:rsidR="00DF72ED" w:rsidRPr="00DF72ED" w:rsidTr="00DF72ED">
        <w:tc>
          <w:tcPr>
            <w:tcW w:w="2392"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1</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Наповнення місцевого бюджету та спрямування фінансового ресурсу на соціально – економічний розвиток.</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Сплата орендної плати за землю СПД та громадянами за обґрунтованими ставками.</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Орендна сплата СПД  за запропонованими ставками.</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Наповнення місцевого бюджету , збереження кількості суб’єктів господарювання та робочих місць.</w:t>
            </w:r>
          </w:p>
        </w:tc>
      </w:tr>
      <w:tr w:rsidR="00DF72ED" w:rsidTr="00DF72ED">
        <w:trPr>
          <w:trHeight w:val="1152"/>
        </w:trPr>
        <w:tc>
          <w:tcPr>
            <w:tcW w:w="2392"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2</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Додаткові надходження коштів до місцевого бюджету та спрямування їх на вирішення соціальних потреб територіальної громади.</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Надмірне податкове навантаження спричинить занепад малого бізнесу.</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Додаткове наповнення міського бюджету. Надмірне навантаження на СПД, можливе скорочення кількості СПД.</w:t>
            </w:r>
          </w:p>
        </w:tc>
      </w:tr>
      <w:tr w:rsidR="00DF72ED" w:rsidTr="00DF72ED">
        <w:tc>
          <w:tcPr>
            <w:tcW w:w="2392" w:type="dxa"/>
            <w:tcBorders>
              <w:top w:val="single" w:sz="4" w:space="0" w:color="auto"/>
              <w:left w:val="single" w:sz="4" w:space="0" w:color="auto"/>
              <w:bottom w:val="single" w:sz="4" w:space="0" w:color="auto"/>
              <w:right w:val="single" w:sz="4" w:space="0" w:color="auto"/>
            </w:tcBorders>
            <w:hideMark/>
          </w:tcPr>
          <w:p w:rsidR="00DF72ED" w:rsidRDefault="00DF72ED">
            <w:r>
              <w:rPr>
                <w:rFonts w:ascii="Times New Roman" w:eastAsia="Times New Roman" w:hAnsi="Times New Roman" w:cs="Times New Roman"/>
                <w:sz w:val="24"/>
                <w:szCs w:val="24"/>
                <w:lang w:val="uk-UA" w:eastAsia="ru-RU"/>
              </w:rPr>
              <w:t>Альтернатива 3</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Сплата орендної плати за мінімальними ставками передбаченими ПКУ </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Зменшення надходжень у місцевий бюджет.</w:t>
            </w:r>
          </w:p>
        </w:tc>
        <w:tc>
          <w:tcPr>
            <w:tcW w:w="2393"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Зменшення надходжень до міського бюджету, підвищення соціальної напруги за причини погіршення якості життя членів громади.</w:t>
            </w:r>
          </w:p>
        </w:tc>
      </w:tr>
    </w:tbl>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tbl>
      <w:tblPr>
        <w:tblStyle w:val="a5"/>
        <w:tblW w:w="0" w:type="auto"/>
        <w:tblInd w:w="0" w:type="dxa"/>
        <w:tblLook w:val="04A0" w:firstRow="1" w:lastRow="0" w:firstColumn="1" w:lastColumn="0" w:noHBand="0" w:noVBand="1"/>
      </w:tblPr>
      <w:tblGrid>
        <w:gridCol w:w="3190"/>
        <w:gridCol w:w="3190"/>
        <w:gridCol w:w="3191"/>
      </w:tblGrid>
      <w:tr w:rsid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рейтинг</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Аргументи щодо переваги обраної альтернативи / причини відмови від альтернативи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Оцінка розвитку зовнішніх чинників на дію запропонованого регуляторного акта</w:t>
            </w:r>
          </w:p>
        </w:tc>
      </w:tr>
      <w:tr w:rsid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1</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Альтернатива є доцільною. Прийняття рішення забезпечить наповнення місцевого бюджету. Податкове навантаження для платників орендної плати не буде надмірним. </w:t>
            </w:r>
            <w:r>
              <w:rPr>
                <w:rFonts w:ascii="Times New Roman" w:eastAsia="Times New Roman" w:hAnsi="Times New Roman" w:cs="Times New Roman"/>
                <w:sz w:val="24"/>
                <w:szCs w:val="24"/>
                <w:lang w:val="uk-UA" w:eastAsia="ru-RU"/>
              </w:rPr>
              <w:lastRenderedPageBreak/>
              <w:t>Досягнення балансу інтересів органу місцевого самоврядування та платників орендної плати.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Зміни до чинного законодавства: </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Податкового кодексу України</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Бюджетного кодексу України;</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Земельного кодексу </w:t>
            </w:r>
            <w:r>
              <w:rPr>
                <w:rFonts w:ascii="Times New Roman" w:eastAsia="Times New Roman" w:hAnsi="Times New Roman" w:cs="Times New Roman"/>
                <w:sz w:val="24"/>
                <w:szCs w:val="24"/>
                <w:lang w:val="uk-UA" w:eastAsia="ru-RU"/>
              </w:rPr>
              <w:lastRenderedPageBreak/>
              <w:t>України; та інші закони (зміна мінімальної заробітної плати, прожиткового мінімуму, тощо). Виникнення податкового боргу про причині несплати орендної плати.</w:t>
            </w:r>
          </w:p>
        </w:tc>
      </w:tr>
      <w:tr w:rsid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Альтернатива 2</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 можливо. </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Зміни до чинного законодавства : Податкового кодексу України</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Бюджетного кодексу України;</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Земельного кодексу України; та інші закони (зміна мінімальної заробітної плати, прожиткового мінімуму, тощо). Виникнення податкового боргу про причині несплати орендної плати.</w:t>
            </w:r>
          </w:p>
        </w:tc>
      </w:tr>
      <w:tr w:rsidR="00DF72ED" w:rsidRPr="00DF72ED" w:rsidTr="00DF72ED">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Альтернатива 3</w:t>
            </w:r>
          </w:p>
        </w:tc>
        <w:tc>
          <w:tcPr>
            <w:tcW w:w="3190"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разі не прийняття регуляторного акта орендна плата справлятиметься по мінімальних ставках орендної плати, що спричинить втрати дохідної частини бюджету і відповідно не виконання бюджетних програм. Вказана альтернатива є неприйнятною.</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Зміни до чинного законодавства:</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Зміни до чинного законодавства : Податкового кодексу України</w:t>
            </w:r>
          </w:p>
          <w:p w:rsidR="00DF72ED" w:rsidRDefault="00DF72ED">
            <w:pPr>
              <w:pStyle w:val="a4"/>
              <w:numPr>
                <w:ilvl w:val="0"/>
                <w:numId w:val="2"/>
              </w:num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Бюджетного кодексу України;</w:t>
            </w:r>
          </w:p>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Земельного кодексу України; та інші закони (зміна мінімальної заробітної плати, прожиткового мінімуму, тощо).</w:t>
            </w:r>
          </w:p>
        </w:tc>
      </w:tr>
    </w:tbl>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Таким чином для реалізації обрано альтернативу 1 встановлення економічно огбгрунтованих ставок орендної плати, що є посильними для платників податків, та забезпечить фінансову основу самостійності органу місцевого самоврядування Ходорівської міської територіальної громади.</w:t>
      </w:r>
    </w:p>
    <w:p w:rsidR="00DF72ED" w:rsidRDefault="00DF72ED" w:rsidP="00DF72ED">
      <w:pPr>
        <w:shd w:val="clear" w:color="auto" w:fill="FFFFFF"/>
        <w:spacing w:after="0" w:line="240" w:lineRule="auto"/>
        <w:jc w:val="both"/>
        <w:rPr>
          <w:rFonts w:ascii="Times New Roman" w:eastAsia="Times New Roman" w:hAnsi="Times New Roman" w:cs="Times New Roman"/>
          <w:b/>
          <w:sz w:val="24"/>
          <w:szCs w:val="24"/>
          <w:lang w:val="uk-UA" w:eastAsia="ru-RU"/>
        </w:rPr>
      </w:pPr>
    </w:p>
    <w:p w:rsidR="00DF72ED" w:rsidRDefault="00DF72ED" w:rsidP="00DF72ED">
      <w:pPr>
        <w:numPr>
          <w:ilvl w:val="0"/>
          <w:numId w:val="3"/>
        </w:numPr>
        <w:shd w:val="clear" w:color="auto" w:fill="FFFFFF"/>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Механізми та заходи, які забезпечать розв’язання визначеної проблеми. Запропоновані механізми регуляторного акта за допомогою яких можна розв’язати проблему:</w:t>
      </w:r>
    </w:p>
    <w:p w:rsidR="00DF72ED" w:rsidRDefault="00DF72ED" w:rsidP="00DF72ED">
      <w:pPr>
        <w:shd w:val="clear" w:color="auto" w:fill="FFFFFF"/>
        <w:spacing w:after="0" w:line="240" w:lineRule="auto"/>
        <w:ind w:left="426"/>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Заходи, які мають здійснити органи влади для впровадження цього регуляторного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lang w:val="uk-UA" w:eastAsia="ru-RU"/>
        </w:rPr>
        <w:t xml:space="preserve">       Розробка проекту рішення Ходорівської міської ради </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rPr>
        <w:t xml:space="preserve">Про встановлення плати за оренду землі на території Ходорівської </w:t>
      </w:r>
      <w:r>
        <w:rPr>
          <w:rFonts w:ascii="Times New Roman" w:hAnsi="Times New Roman"/>
          <w:sz w:val="24"/>
          <w:szCs w:val="24"/>
          <w:lang w:val="uk-UA" w:eastAsia="uk-UA"/>
        </w:rPr>
        <w:t xml:space="preserve">міської </w:t>
      </w:r>
      <w:r>
        <w:rPr>
          <w:rFonts w:ascii="Times New Roman" w:eastAsia="Times New Roman" w:hAnsi="Times New Roman" w:cs="Times New Roman"/>
          <w:sz w:val="24"/>
          <w:szCs w:val="24"/>
          <w:lang w:val="uk-UA"/>
        </w:rPr>
        <w:t xml:space="preserve"> територіальної громади на 2022 рік</w:t>
      </w:r>
      <w:r>
        <w:rPr>
          <w:rFonts w:ascii="Times New Roman" w:hAnsi="Times New Roman" w:cs="Times New Roman"/>
          <w:sz w:val="24"/>
          <w:szCs w:val="24"/>
          <w:lang w:val="uk-UA" w:eastAsia="uk-UA"/>
        </w:rPr>
        <w:t>»</w:t>
      </w:r>
      <w:r>
        <w:rPr>
          <w:rFonts w:ascii="Times New Roman" w:eastAsia="Times New Roman" w:hAnsi="Times New Roman" w:cs="Times New Roman"/>
          <w:sz w:val="24"/>
          <w:szCs w:val="24"/>
          <w:lang w:val="uk-UA" w:eastAsia="ru-RU"/>
        </w:rPr>
        <w:t xml:space="preserve"> та актів регуляторного впливу до нього.</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Проведення консультацій з суб’єктами господарювання.</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Оприлюднення проекту разом з актом регуляторного впливу та отримання пропозицій і зауважень.</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Прийняття рішення на засідання сесії Ходорівської міської ради.</w:t>
      </w:r>
    </w:p>
    <w:p w:rsidR="00DF72ED" w:rsidRDefault="00DF72ED" w:rsidP="00DF72ED">
      <w:pPr>
        <w:shd w:val="clear" w:color="auto" w:fill="FFFFFF"/>
        <w:spacing w:after="0" w:line="240" w:lineRule="auto"/>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sz w:val="24"/>
          <w:szCs w:val="24"/>
          <w:lang w:val="uk-UA" w:eastAsia="ru-RU"/>
        </w:rPr>
        <w:t xml:space="preserve">        Оприлюднення рішення у встановленому законодавством порядку.</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Проведення заходів і відстеження результативності прийнятого рішення.</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 результатами проведених розрахунків очікуваних витрат та вигод суб’єктів підприємницької діяльності, прогнозується, що прийняття зазначеного проекту рішення дозволити забезпечити баланс інтересів суб’єктів господарювання, громадян та органу місцевого самоврядування. А його застосування буде ефективним для вирішення проблеми зазначеної у розділі першому цього регуляторного акту.</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pStyle w:val="a4"/>
        <w:numPr>
          <w:ilvl w:val="0"/>
          <w:numId w:val="3"/>
        </w:numPr>
        <w:shd w:val="clear" w:color="auto" w:fill="FFFFFF"/>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Оцінка виконання вимог регуляторного акта залежно від ресурсів, якими розпоряджаються органи виконавчої влади чи орган місцевого самоврядування.</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Бюджетні витрати на адміністрування регулювання суб’єктів малого підприємництва не підлягають розрахунку, оскільки встановлено нормами ПКУ. Органи місцевого самоврядування наділені повноваженнями лише встановлювати ставки орендної плати за </w:t>
      </w:r>
      <w:proofErr w:type="spellStart"/>
      <w:r>
        <w:rPr>
          <w:rFonts w:ascii="Times New Roman" w:eastAsia="Times New Roman" w:hAnsi="Times New Roman" w:cs="Times New Roman"/>
          <w:sz w:val="24"/>
          <w:szCs w:val="24"/>
          <w:lang w:val="uk-UA" w:eastAsia="ru-RU"/>
        </w:rPr>
        <w:t>змлю</w:t>
      </w:r>
      <w:proofErr w:type="spellEnd"/>
      <w:r>
        <w:rPr>
          <w:rFonts w:ascii="Times New Roman" w:eastAsia="Times New Roman" w:hAnsi="Times New Roman" w:cs="Times New Roman"/>
          <w:sz w:val="24"/>
          <w:szCs w:val="24"/>
          <w:lang w:val="uk-UA" w:eastAsia="ru-RU"/>
        </w:rPr>
        <w:t xml:space="preserve"> не змінюючи порядок їх обчислення, сплати та інші адміністративні процедури. </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numPr>
          <w:ilvl w:val="0"/>
          <w:numId w:val="3"/>
        </w:numPr>
        <w:shd w:val="clear" w:color="auto" w:fill="FFFFFF"/>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Обґрунтування запропонованого терміну дії регуляторного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eastAsia="ru-RU"/>
        </w:rPr>
      </w:pP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Пропонується встановити строк дії регуляторного акту на 2022 рік, що співвідноситься з цілями його прийняття. </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Враховуючи норми Бюджетного та Податкового кодексів України, органи місцевого самоврядування мають щорічно переглядати розміри ставок орендної плати що справляються установленому ПКУ порядку. Відповідні ставки будуть діяти лише протягом року, на який прийняті.</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Зміни до регуляторного акта вносяться в разі потреби та у разі внесення змін до чинного законодавства.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numPr>
          <w:ilvl w:val="0"/>
          <w:numId w:val="3"/>
        </w:num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uk-UA" w:eastAsia="ru-RU"/>
        </w:rPr>
        <w:t>Визначення показників результативності регуляторного акта</w:t>
      </w:r>
    </w:p>
    <w:p w:rsidR="00DF72ED" w:rsidRDefault="00DF72ED" w:rsidP="00DF72ED">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val="uk-UA" w:eastAsia="ru-RU"/>
        </w:rPr>
        <w:t xml:space="preserve">  - розмір надходжень до місцевого бюджету, пов’язаних з дією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суб’єкти господарювання на яких поширюється дія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розмір коштів, що витрачатимуться суб’єктами господарювання та або фізичних осіб, пов’язаними з використаннями вимог акту.</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рівень проінформованості суб’єктів господарювання та або фізичних осіб з основних положень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Прогнозовані показники результативності    </w:t>
      </w:r>
    </w:p>
    <w:tbl>
      <w:tblPr>
        <w:tblStyle w:val="a5"/>
        <w:tblW w:w="0" w:type="auto"/>
        <w:tblInd w:w="0" w:type="dxa"/>
        <w:tblLook w:val="04A0" w:firstRow="1" w:lastRow="0" w:firstColumn="1" w:lastColumn="0" w:noHBand="0" w:noVBand="1"/>
      </w:tblPr>
      <w:tblGrid>
        <w:gridCol w:w="959"/>
        <w:gridCol w:w="5421"/>
        <w:gridCol w:w="3191"/>
      </w:tblGrid>
      <w:tr w:rsidR="00DF72ED" w:rsidTr="00DF72ED">
        <w:tc>
          <w:tcPr>
            <w:tcW w:w="95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w:t>
            </w:r>
            <w:proofErr w:type="spellStart"/>
            <w:r>
              <w:rPr>
                <w:rFonts w:ascii="Times New Roman" w:eastAsia="Times New Roman" w:hAnsi="Times New Roman" w:cs="Times New Roman"/>
                <w:sz w:val="24"/>
                <w:szCs w:val="24"/>
                <w:lang w:val="uk-UA" w:eastAsia="ru-RU"/>
              </w:rPr>
              <w:t>п</w:t>
            </w:r>
            <w:proofErr w:type="spellEnd"/>
          </w:p>
        </w:tc>
        <w:tc>
          <w:tcPr>
            <w:tcW w:w="542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Назва показника</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разі прийняття рішення про ставки орендної плати на 2022рік </w:t>
            </w:r>
          </w:p>
        </w:tc>
      </w:tr>
      <w:tr w:rsidR="00DF72ED" w:rsidTr="00DF72ED">
        <w:tc>
          <w:tcPr>
            <w:tcW w:w="95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542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Очікувані надходження до місцевого бюджету від сплати орендної плати</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5 248 678,58 грн</w:t>
            </w:r>
          </w:p>
        </w:tc>
      </w:tr>
      <w:tr w:rsidR="00DF72ED" w:rsidTr="00DF72ED">
        <w:tc>
          <w:tcPr>
            <w:tcW w:w="95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542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Кількість суб’єктів господарювання та або фізичних осіб на яких поширюватиметься дія акта</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w:t>
            </w:r>
          </w:p>
        </w:tc>
      </w:tr>
      <w:tr w:rsidR="00DF72ED" w:rsidTr="00DF72ED">
        <w:tc>
          <w:tcPr>
            <w:tcW w:w="95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542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Час, що витрачатиметься суб’єктами господарювання та або фізичними особами, пов’язаними з виконанням вимог акта, год на 1 суб'єкта </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2год</w:t>
            </w:r>
          </w:p>
        </w:tc>
      </w:tr>
      <w:tr w:rsidR="00DF72ED" w:rsidTr="00DF72ED">
        <w:trPr>
          <w:trHeight w:val="856"/>
        </w:trPr>
        <w:tc>
          <w:tcPr>
            <w:tcW w:w="95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542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Розмір коштів, що витрачатимуться суб’єктами господарювання та або фізичних осіб, пов’язаними з виконанням вимог акту.</w:t>
            </w: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5 248 678,58 грн</w:t>
            </w:r>
          </w:p>
        </w:tc>
      </w:tr>
      <w:tr w:rsidR="00DF72ED" w:rsidTr="00DF72ED">
        <w:trPr>
          <w:trHeight w:val="530"/>
        </w:trPr>
        <w:tc>
          <w:tcPr>
            <w:tcW w:w="959"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5421" w:type="dxa"/>
            <w:tcBorders>
              <w:top w:val="single" w:sz="4" w:space="0" w:color="auto"/>
              <w:left w:val="single" w:sz="4" w:space="0" w:color="auto"/>
              <w:bottom w:val="single" w:sz="4" w:space="0" w:color="auto"/>
              <w:right w:val="single" w:sz="4" w:space="0" w:color="auto"/>
            </w:tcBorders>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Рівень проінформованості суб’єктів господарювання та або фізичних осіб з основних </w:t>
            </w:r>
            <w:r>
              <w:rPr>
                <w:rFonts w:ascii="Times New Roman" w:eastAsia="Times New Roman" w:hAnsi="Times New Roman" w:cs="Times New Roman"/>
                <w:sz w:val="24"/>
                <w:szCs w:val="24"/>
                <w:lang w:val="uk-UA" w:eastAsia="ru-RU"/>
              </w:rPr>
              <w:lastRenderedPageBreak/>
              <w:t xml:space="preserve">положень акта; оприлюднені повідомлення, проект рішення регуляторного акта  на офіційному сайті Ходорівської міської ради. </w:t>
            </w:r>
          </w:p>
          <w:p w:rsidR="00DF72ED" w:rsidRDefault="00DF72ED">
            <w:pPr>
              <w:jc w:val="both"/>
              <w:rPr>
                <w:rFonts w:ascii="Times New Roman" w:eastAsia="Times New Roman" w:hAnsi="Times New Roman" w:cs="Times New Roman"/>
                <w:sz w:val="24"/>
                <w:szCs w:val="24"/>
                <w:lang w:val="uk-UA" w:eastAsia="ru-RU"/>
              </w:rPr>
            </w:pPr>
          </w:p>
        </w:tc>
        <w:tc>
          <w:tcPr>
            <w:tcW w:w="3191" w:type="dxa"/>
            <w:tcBorders>
              <w:top w:val="single" w:sz="4" w:space="0" w:color="auto"/>
              <w:left w:val="single" w:sz="4" w:space="0" w:color="auto"/>
              <w:bottom w:val="single" w:sz="4" w:space="0" w:color="auto"/>
              <w:right w:val="single" w:sz="4" w:space="0" w:color="auto"/>
            </w:tcBorders>
            <w:hideMark/>
          </w:tcPr>
          <w:p w:rsidR="00DF72ED" w:rsidRDefault="00DF72ED">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високий</w:t>
            </w:r>
          </w:p>
        </w:tc>
      </w:tr>
    </w:tbl>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p>
    <w:p w:rsidR="00DF72ED" w:rsidRDefault="00DF72ED" w:rsidP="00DF72ED">
      <w:pPr>
        <w:shd w:val="clear" w:color="auto" w:fill="FFFFFF"/>
        <w:spacing w:after="0" w:line="240" w:lineRule="auto"/>
        <w:jc w:val="both"/>
        <w:rPr>
          <w:rFonts w:ascii="Times New Roman" w:eastAsia="Times New Roman" w:hAnsi="Times New Roman" w:cs="Times New Roman"/>
          <w:b/>
          <w:bCs/>
          <w:sz w:val="24"/>
          <w:szCs w:val="24"/>
          <w:lang w:val="uk-UA" w:eastAsia="ru-RU"/>
        </w:rPr>
      </w:pPr>
    </w:p>
    <w:p w:rsidR="00DF72ED" w:rsidRDefault="00DF72ED" w:rsidP="00DF72ED">
      <w:pPr>
        <w:shd w:val="clear" w:color="auto" w:fill="FFFFFF"/>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12. Визначення способів, за допомогою яких здійснюватиметься відстеження результативності регуляторного акта у разі його ухвалення</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Базове відстеження результативності регуляторного акта здійснюватиметься протягом року з дня набрання ним чинності, але не пізніше дня, з якого починається проведення повторного відстеження результативності цього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Повторне відстеження результативності регуляторного акта планується здійснити за три місяці до закінчення терміну, на який приймається даний регуляторний акт.</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Періодичне відстеження результативності не планується, в зв’язку з тим, що термін дії регуляторного акта складає 1 рік.</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Під час проведення відстеження результативності цього регуляторного акта будуть використовуватись офіційні статистичні дані щодо показників результативності регуляторного акта.</w:t>
      </w:r>
    </w:p>
    <w:p w:rsidR="00DF72ED" w:rsidRDefault="00DF72ED" w:rsidP="00DF72E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rsidR="002033B0" w:rsidRDefault="00DF72ED" w:rsidP="00DF72ED">
      <w:r>
        <w:rPr>
          <w:rFonts w:ascii="Times New Roman" w:eastAsia="Times New Roman" w:hAnsi="Times New Roman" w:cs="Times New Roman"/>
          <w:sz w:val="24"/>
          <w:szCs w:val="24"/>
          <w:lang w:val="uk-UA" w:eastAsia="ru-RU"/>
        </w:rPr>
        <w:t> </w:t>
      </w:r>
      <w:r>
        <w:rPr>
          <w:rFonts w:ascii="Times New Roman" w:eastAsia="Times New Roman" w:hAnsi="Times New Roman" w:cs="Times New Roman"/>
          <w:b/>
          <w:spacing w:val="4"/>
          <w:sz w:val="24"/>
          <w:szCs w:val="24"/>
          <w:lang w:val="uk-UA" w:eastAsia="ru-RU"/>
        </w:rPr>
        <w:t xml:space="preserve">         Секретар ради </w:t>
      </w:r>
      <w:r>
        <w:rPr>
          <w:rFonts w:ascii="Times New Roman" w:eastAsia="Times New Roman" w:hAnsi="Times New Roman" w:cs="Times New Roman"/>
          <w:b/>
          <w:spacing w:val="4"/>
          <w:sz w:val="24"/>
          <w:szCs w:val="24"/>
          <w:lang w:val="uk-UA" w:eastAsia="ru-RU"/>
        </w:rPr>
        <w:tab/>
        <w:t xml:space="preserve"> </w:t>
      </w:r>
      <w:r>
        <w:rPr>
          <w:rFonts w:ascii="Times New Roman" w:eastAsia="Times New Roman" w:hAnsi="Times New Roman" w:cs="Times New Roman"/>
          <w:b/>
          <w:spacing w:val="4"/>
          <w:sz w:val="24"/>
          <w:szCs w:val="24"/>
          <w:lang w:val="uk-UA" w:eastAsia="ru-RU"/>
        </w:rPr>
        <w:t xml:space="preserve">                                        </w:t>
      </w:r>
      <w:r>
        <w:rPr>
          <w:rFonts w:ascii="Times New Roman" w:eastAsia="Times New Roman" w:hAnsi="Times New Roman" w:cs="Times New Roman"/>
          <w:b/>
          <w:spacing w:val="4"/>
          <w:sz w:val="24"/>
          <w:szCs w:val="24"/>
          <w:lang w:val="uk-UA" w:eastAsia="ru-RU"/>
        </w:rPr>
        <w:t xml:space="preserve">            Марія Гавінськ</w:t>
      </w:r>
      <w:r>
        <w:rPr>
          <w:rFonts w:ascii="Times New Roman" w:eastAsia="Times New Roman" w:hAnsi="Times New Roman" w:cs="Times New Roman"/>
          <w:b/>
          <w:spacing w:val="4"/>
          <w:sz w:val="24"/>
          <w:szCs w:val="24"/>
          <w:lang w:val="uk-UA" w:eastAsia="ru-RU"/>
        </w:rPr>
        <w:t>а</w:t>
      </w:r>
    </w:p>
    <w:sectPr w:rsidR="002033B0" w:rsidSect="00DF72ED">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35DAC"/>
    <w:multiLevelType w:val="hybridMultilevel"/>
    <w:tmpl w:val="E3C4981A"/>
    <w:lvl w:ilvl="0" w:tplc="0419000F">
      <w:start w:val="3"/>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C6A4406"/>
    <w:multiLevelType w:val="hybridMultilevel"/>
    <w:tmpl w:val="B23089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D844E1C"/>
    <w:multiLevelType w:val="hybridMultilevel"/>
    <w:tmpl w:val="FE9C3E54"/>
    <w:lvl w:ilvl="0" w:tplc="70305A7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52DF05DD"/>
    <w:multiLevelType w:val="hybridMultilevel"/>
    <w:tmpl w:val="7222FA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AA05A8F"/>
    <w:multiLevelType w:val="hybridMultilevel"/>
    <w:tmpl w:val="F25A25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0B"/>
    <w:rsid w:val="002033B0"/>
    <w:rsid w:val="0035400B"/>
    <w:rsid w:val="00DF7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2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2ED"/>
    <w:pPr>
      <w:spacing w:after="0" w:line="240" w:lineRule="auto"/>
    </w:pPr>
  </w:style>
  <w:style w:type="paragraph" w:styleId="a4">
    <w:name w:val="List Paragraph"/>
    <w:basedOn w:val="a"/>
    <w:uiPriority w:val="34"/>
    <w:qFormat/>
    <w:rsid w:val="00DF72ED"/>
    <w:pPr>
      <w:ind w:left="720"/>
      <w:contextualSpacing/>
    </w:pPr>
  </w:style>
  <w:style w:type="table" w:styleId="a5">
    <w:name w:val="Table Grid"/>
    <w:basedOn w:val="a1"/>
    <w:uiPriority w:val="59"/>
    <w:rsid w:val="00DF7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2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2ED"/>
    <w:pPr>
      <w:spacing w:after="0" w:line="240" w:lineRule="auto"/>
    </w:pPr>
  </w:style>
  <w:style w:type="paragraph" w:styleId="a4">
    <w:name w:val="List Paragraph"/>
    <w:basedOn w:val="a"/>
    <w:uiPriority w:val="34"/>
    <w:qFormat/>
    <w:rsid w:val="00DF72ED"/>
    <w:pPr>
      <w:ind w:left="720"/>
      <w:contextualSpacing/>
    </w:pPr>
  </w:style>
  <w:style w:type="table" w:styleId="a5">
    <w:name w:val="Table Grid"/>
    <w:basedOn w:val="a1"/>
    <w:uiPriority w:val="59"/>
    <w:rsid w:val="00DF7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4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2570</Words>
  <Characters>14652</Characters>
  <Application>Microsoft Office Word</Application>
  <DocSecurity>0</DocSecurity>
  <Lines>122</Lines>
  <Paragraphs>34</Paragraphs>
  <ScaleCrop>false</ScaleCrop>
  <Company/>
  <LinksUpToDate>false</LinksUpToDate>
  <CharactersWithSpaces>17188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олена-зем</cp:lastModifiedBy>
  <cp:revision>3</cp:revision>
  <dcterms:created xsi:type="dcterms:W3CDTF">2021-06-29T14:07:00Z</dcterms:created>
  <dcterms:modified xsi:type="dcterms:W3CDTF">2021-06-29T14:08:00Z</dcterms:modified>
</cp:coreProperties>
</file>