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8D4918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r w:rsidR="00832CBE">
        <w:rPr>
          <w:rFonts w:ascii="Times New Roman" w:hAnsi="Times New Roman" w:cs="Times New Roman"/>
          <w:sz w:val="28"/>
          <w:szCs w:val="28"/>
        </w:rPr>
        <w:t>комунальної установи «Територіальний центр соціального обслуговування (надання соціальних послуг)</w:t>
      </w:r>
      <w:r w:rsidR="0000076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8D3E2A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</w:t>
      </w:r>
      <w:r w:rsidR="00C2344B" w:rsidRPr="00615092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чисельності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00076E">
        <w:rPr>
          <w:rFonts w:ascii="Times New Roman" w:hAnsi="Times New Roman" w:cs="Times New Roman"/>
          <w:sz w:val="28"/>
          <w:szCs w:val="28"/>
        </w:rPr>
        <w:t>6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615092" w:rsidRPr="00615092">
        <w:rPr>
          <w:rFonts w:ascii="Times New Roman" w:hAnsi="Times New Roman" w:cs="Times New Roman"/>
          <w:sz w:val="28"/>
          <w:szCs w:val="28"/>
        </w:rPr>
        <w:t>, прав засновника, нерухомого та іншого окремого індивідуально визначеного рухомого майна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комунальну установу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283269">
        <w:rPr>
          <w:rFonts w:ascii="Times New Roman" w:hAnsi="Times New Roman" w:cs="Times New Roman"/>
          <w:sz w:val="28"/>
          <w:szCs w:val="28"/>
        </w:rPr>
        <w:t xml:space="preserve">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комунальну установу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A7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редакція), (додаток 1).</w:t>
      </w:r>
    </w:p>
    <w:p w:rsidR="000A173F" w:rsidRDefault="00C2344B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структуру та чисельність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A7E91">
        <w:rPr>
          <w:rFonts w:ascii="Times New Roman" w:hAnsi="Times New Roman" w:cs="Times New Roman"/>
          <w:sz w:val="28"/>
          <w:szCs w:val="28"/>
        </w:rPr>
        <w:t xml:space="preserve">  з 01.0</w:t>
      </w:r>
      <w:r w:rsidR="009C2419">
        <w:rPr>
          <w:rFonts w:ascii="Times New Roman" w:hAnsi="Times New Roman" w:cs="Times New Roman"/>
          <w:sz w:val="28"/>
          <w:szCs w:val="28"/>
        </w:rPr>
        <w:t>2</w:t>
      </w:r>
      <w:r w:rsidR="007A7E91">
        <w:rPr>
          <w:rFonts w:ascii="Times New Roman" w:hAnsi="Times New Roman" w:cs="Times New Roman"/>
          <w:sz w:val="28"/>
          <w:szCs w:val="28"/>
        </w:rPr>
        <w:t xml:space="preserve">.2021 року </w:t>
      </w: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00076E" w:rsidRPr="0000076E" w:rsidRDefault="0000076E" w:rsidP="0000076E">
      <w:pPr>
        <w:pStyle w:val="a4"/>
        <w:numPr>
          <w:ilvl w:val="0"/>
          <w:numId w:val="8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76E">
        <w:rPr>
          <w:rFonts w:ascii="Times New Roman" w:hAnsi="Times New Roman" w:cs="Times New Roman"/>
          <w:sz w:val="28"/>
          <w:szCs w:val="28"/>
        </w:rPr>
        <w:t xml:space="preserve">Затвердити Перелік соціальних послуг, умови та порядок їх надання структурними підрозділами комунальної установи «Територіальний </w:t>
      </w:r>
      <w:r w:rsidRPr="0000076E">
        <w:rPr>
          <w:rFonts w:ascii="Times New Roman" w:hAnsi="Times New Roman" w:cs="Times New Roman"/>
          <w:sz w:val="28"/>
          <w:szCs w:val="28"/>
        </w:rPr>
        <w:lastRenderedPageBreak/>
        <w:t xml:space="preserve">центр соціального обслуговування (надання соціальних послуг)» </w:t>
      </w:r>
      <w:proofErr w:type="spellStart"/>
      <w:r w:rsidRP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Pr="0000076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(додаток 3).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E00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>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</w:t>
      </w:r>
      <w:r w:rsidR="0000076E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00076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0076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BA1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E00DA0" w:rsidRDefault="00E00DA0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E00DA0" w:rsidRDefault="00E00DA0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C85BFF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C85BFF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C85BFF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C85BF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C85BFF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C85BFF" w:rsidRPr="00615092">
        <w:rPr>
          <w:rFonts w:ascii="Times New Roman" w:hAnsi="Times New Roman" w:cs="Times New Roman"/>
          <w:sz w:val="28"/>
          <w:szCs w:val="28"/>
        </w:rPr>
        <w:t xml:space="preserve">, затвердження нової редакції Статуту, структури та чисельності 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1705" w:rsidRDefault="00AA1705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EE6C8E" w:rsidRPr="00DF30DF" w:rsidRDefault="00EE6C8E" w:rsidP="00C85BFF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C85BFF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C85BFF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C85BF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C85BFF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C85BFF" w:rsidRPr="00615092">
        <w:rPr>
          <w:rFonts w:ascii="Times New Roman" w:hAnsi="Times New Roman" w:cs="Times New Roman"/>
          <w:sz w:val="28"/>
          <w:szCs w:val="28"/>
        </w:rPr>
        <w:t xml:space="preserve">, затвердження нової редакції Статуту, структури та чисельності 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C85BFF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C85BFF">
        <w:rPr>
          <w:rFonts w:ascii="Times New Roman" w:hAnsi="Times New Roman" w:cs="Times New Roman"/>
          <w:sz w:val="28"/>
          <w:szCs w:val="28"/>
        </w:rPr>
        <w:t>6</w:t>
      </w:r>
      <w:r w:rsidR="00C85BFF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</w:t>
      </w:r>
      <w:proofErr w:type="spellStart"/>
      <w:r w:rsidR="00C85BFF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C85BFF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C85BFF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C85BFF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</w:t>
      </w:r>
      <w:r w:rsidR="00C85BFF">
        <w:rPr>
          <w:rFonts w:ascii="Times New Roman" w:hAnsi="Times New Roman" w:cs="Times New Roman"/>
          <w:sz w:val="28"/>
          <w:szCs w:val="28"/>
        </w:rPr>
        <w:t xml:space="preserve">комунальної установи «Територіальний центр соціального обслуговування (надання соціальних послуг)» </w:t>
      </w:r>
      <w:proofErr w:type="spellStart"/>
      <w:r w:rsidR="00C85BF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C85BFF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C85BFF" w:rsidRPr="00615092">
        <w:rPr>
          <w:rFonts w:ascii="Times New Roman" w:hAnsi="Times New Roman" w:cs="Times New Roman"/>
          <w:sz w:val="28"/>
          <w:szCs w:val="28"/>
        </w:rPr>
        <w:t>, прав засновника, нерухомого та іншого окремого індивідуально визначеного рухомого майна»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0076E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5AAF"/>
    <w:rsid w:val="001E7C2F"/>
    <w:rsid w:val="002173B0"/>
    <w:rsid w:val="002226AB"/>
    <w:rsid w:val="00233384"/>
    <w:rsid w:val="00235CA3"/>
    <w:rsid w:val="00253DE0"/>
    <w:rsid w:val="002669D0"/>
    <w:rsid w:val="00274634"/>
    <w:rsid w:val="0028303B"/>
    <w:rsid w:val="00283269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B7C32"/>
    <w:rsid w:val="004C0DA4"/>
    <w:rsid w:val="004D422A"/>
    <w:rsid w:val="004D7079"/>
    <w:rsid w:val="004E6567"/>
    <w:rsid w:val="004F3410"/>
    <w:rsid w:val="005331FC"/>
    <w:rsid w:val="00535B2B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15092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2CBE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D4918"/>
    <w:rsid w:val="008F41CC"/>
    <w:rsid w:val="00901715"/>
    <w:rsid w:val="009147AD"/>
    <w:rsid w:val="009346ED"/>
    <w:rsid w:val="00936C42"/>
    <w:rsid w:val="009418F5"/>
    <w:rsid w:val="00943EC9"/>
    <w:rsid w:val="00951B9A"/>
    <w:rsid w:val="00967905"/>
    <w:rsid w:val="00971043"/>
    <w:rsid w:val="0098271A"/>
    <w:rsid w:val="00996E81"/>
    <w:rsid w:val="009A7378"/>
    <w:rsid w:val="009C1BD1"/>
    <w:rsid w:val="009C2419"/>
    <w:rsid w:val="009C24C4"/>
    <w:rsid w:val="009D4632"/>
    <w:rsid w:val="009E24C4"/>
    <w:rsid w:val="009F14FC"/>
    <w:rsid w:val="00A4567C"/>
    <w:rsid w:val="00A55450"/>
    <w:rsid w:val="00A62A29"/>
    <w:rsid w:val="00AA1705"/>
    <w:rsid w:val="00AA1C22"/>
    <w:rsid w:val="00AA582E"/>
    <w:rsid w:val="00AC05E3"/>
    <w:rsid w:val="00AD007D"/>
    <w:rsid w:val="00AD12D7"/>
    <w:rsid w:val="00AE4066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7082C"/>
    <w:rsid w:val="00C85BFF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24633"/>
    <w:rsid w:val="00D32693"/>
    <w:rsid w:val="00D368D4"/>
    <w:rsid w:val="00D42B8B"/>
    <w:rsid w:val="00D43274"/>
    <w:rsid w:val="00D53F28"/>
    <w:rsid w:val="00D56932"/>
    <w:rsid w:val="00D75A4C"/>
    <w:rsid w:val="00D86A9D"/>
    <w:rsid w:val="00D976E5"/>
    <w:rsid w:val="00DA4EE0"/>
    <w:rsid w:val="00DB0512"/>
    <w:rsid w:val="00DB0D8B"/>
    <w:rsid w:val="00DB7F1A"/>
    <w:rsid w:val="00DC5892"/>
    <w:rsid w:val="00DE50D7"/>
    <w:rsid w:val="00DF12A0"/>
    <w:rsid w:val="00E00D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24</cp:revision>
  <cp:lastPrinted>2019-12-16T05:45:00Z</cp:lastPrinted>
  <dcterms:created xsi:type="dcterms:W3CDTF">2021-01-13T07:52:00Z</dcterms:created>
  <dcterms:modified xsi:type="dcterms:W3CDTF">2021-01-25T10:15:00Z</dcterms:modified>
</cp:coreProperties>
</file>