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783"/>
        <w:gridCol w:w="3855"/>
      </w:tblGrid>
      <w:tr w:rsidR="00373C3C" w:rsidRPr="00373C3C" w:rsidTr="00373C3C">
        <w:tc>
          <w:tcPr>
            <w:tcW w:w="12135" w:type="dxa"/>
            <w:gridSpan w:val="2"/>
            <w:shd w:val="clear" w:color="auto" w:fill="auto"/>
            <w:hideMark/>
          </w:tcPr>
          <w:p w:rsidR="00373C3C" w:rsidRPr="00373C3C" w:rsidRDefault="00373C3C" w:rsidP="00373C3C">
            <w:pPr>
              <w:spacing w:before="300" w:after="150" w:line="240" w:lineRule="auto"/>
              <w:jc w:val="center"/>
              <w:rPr>
                <w:rFonts w:eastAsia="Times New Roman" w:cs="Times New Roman"/>
                <w:sz w:val="24"/>
                <w:szCs w:val="24"/>
                <w:lang w:eastAsia="uk-UA"/>
              </w:rPr>
            </w:pPr>
            <w:r w:rsidRPr="00373C3C">
              <w:rPr>
                <w:rFonts w:eastAsia="Times New Roman" w:cs="Times New Roman"/>
                <w:noProof/>
                <w:sz w:val="24"/>
                <w:szCs w:val="24"/>
                <w:lang w:eastAsia="uk-UA"/>
              </w:rPr>
              <w:drawing>
                <wp:inline distT="0" distB="0" distL="0" distR="0" wp14:anchorId="1391B613" wp14:editId="5802A728">
                  <wp:extent cx="571500" cy="762000"/>
                  <wp:effectExtent l="0" t="0" r="0" b="0"/>
                  <wp:docPr id="2"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373C3C" w:rsidRPr="00373C3C" w:rsidTr="00373C3C">
        <w:tc>
          <w:tcPr>
            <w:tcW w:w="12135" w:type="dxa"/>
            <w:gridSpan w:val="2"/>
            <w:shd w:val="clear" w:color="auto" w:fill="auto"/>
            <w:hideMark/>
          </w:tcPr>
          <w:p w:rsidR="00373C3C" w:rsidRPr="00373C3C" w:rsidRDefault="00373C3C" w:rsidP="00373C3C">
            <w:pPr>
              <w:spacing w:before="150" w:after="0" w:line="240" w:lineRule="auto"/>
              <w:jc w:val="center"/>
              <w:rPr>
                <w:rFonts w:eastAsia="Times New Roman" w:cs="Times New Roman"/>
                <w:sz w:val="24"/>
                <w:szCs w:val="24"/>
                <w:lang w:eastAsia="uk-UA"/>
              </w:rPr>
            </w:pPr>
            <w:r w:rsidRPr="00373C3C">
              <w:rPr>
                <w:rFonts w:eastAsia="Times New Roman" w:cs="Times New Roman"/>
                <w:b/>
                <w:bCs/>
                <w:color w:val="000000"/>
                <w:szCs w:val="28"/>
                <w:lang w:eastAsia="uk-UA"/>
              </w:rPr>
              <w:t>МІНІСТЕРСТВО АГРАРНОЇ ПОЛІТИКИ ТА ПРОДОВОЛЬСТВА УКРАЇНИ</w:t>
            </w:r>
          </w:p>
        </w:tc>
      </w:tr>
      <w:tr w:rsidR="00373C3C" w:rsidRPr="00373C3C" w:rsidTr="00373C3C">
        <w:tc>
          <w:tcPr>
            <w:tcW w:w="12135" w:type="dxa"/>
            <w:gridSpan w:val="2"/>
            <w:shd w:val="clear" w:color="auto" w:fill="auto"/>
            <w:hideMark/>
          </w:tcPr>
          <w:p w:rsidR="00373C3C" w:rsidRPr="00373C3C" w:rsidRDefault="00373C3C" w:rsidP="00373C3C">
            <w:pPr>
              <w:spacing w:before="300" w:after="150" w:line="240" w:lineRule="auto"/>
              <w:jc w:val="center"/>
              <w:rPr>
                <w:rFonts w:eastAsia="Times New Roman" w:cs="Times New Roman"/>
                <w:sz w:val="24"/>
                <w:szCs w:val="24"/>
                <w:lang w:eastAsia="uk-UA"/>
              </w:rPr>
            </w:pPr>
            <w:r w:rsidRPr="00373C3C">
              <w:rPr>
                <w:rFonts w:eastAsia="Times New Roman" w:cs="Times New Roman"/>
                <w:b/>
                <w:bCs/>
                <w:color w:val="000000"/>
                <w:sz w:val="32"/>
                <w:szCs w:val="32"/>
                <w:lang w:eastAsia="uk-UA"/>
              </w:rPr>
              <w:t>НАКАЗ</w:t>
            </w:r>
          </w:p>
        </w:tc>
      </w:tr>
      <w:tr w:rsidR="00373C3C" w:rsidRPr="00373C3C" w:rsidTr="00373C3C">
        <w:tc>
          <w:tcPr>
            <w:tcW w:w="12135" w:type="dxa"/>
            <w:gridSpan w:val="2"/>
            <w:shd w:val="clear" w:color="auto" w:fill="auto"/>
            <w:hideMark/>
          </w:tcPr>
          <w:p w:rsidR="00373C3C" w:rsidRPr="00373C3C" w:rsidRDefault="00373C3C" w:rsidP="00373C3C">
            <w:pPr>
              <w:spacing w:before="150" w:after="150" w:line="240" w:lineRule="auto"/>
              <w:ind w:left="450" w:right="450"/>
              <w:jc w:val="center"/>
              <w:rPr>
                <w:rFonts w:eastAsia="Times New Roman" w:cs="Times New Roman"/>
                <w:sz w:val="24"/>
                <w:szCs w:val="24"/>
                <w:lang w:eastAsia="uk-UA"/>
              </w:rPr>
            </w:pPr>
            <w:r w:rsidRPr="00373C3C">
              <w:rPr>
                <w:rFonts w:eastAsia="Times New Roman" w:cs="Times New Roman"/>
                <w:b/>
                <w:bCs/>
                <w:color w:val="000000"/>
                <w:sz w:val="24"/>
                <w:szCs w:val="24"/>
                <w:lang w:eastAsia="uk-UA"/>
              </w:rPr>
              <w:t>30.04.2013  № 285</w:t>
            </w:r>
          </w:p>
        </w:tc>
      </w:tr>
      <w:tr w:rsidR="00373C3C" w:rsidRPr="00373C3C" w:rsidTr="00373C3C">
        <w:tc>
          <w:tcPr>
            <w:tcW w:w="3000" w:type="pct"/>
            <w:shd w:val="clear" w:color="auto" w:fill="auto"/>
            <w:hideMark/>
          </w:tcPr>
          <w:p w:rsidR="00373C3C" w:rsidRPr="00373C3C" w:rsidRDefault="00373C3C" w:rsidP="00373C3C">
            <w:pPr>
              <w:spacing w:before="150" w:after="150" w:line="240" w:lineRule="auto"/>
              <w:rPr>
                <w:rFonts w:eastAsia="Times New Roman" w:cs="Times New Roman"/>
                <w:sz w:val="24"/>
                <w:szCs w:val="24"/>
                <w:lang w:eastAsia="uk-UA"/>
              </w:rPr>
            </w:pPr>
            <w:bookmarkStart w:id="0" w:name="n3"/>
            <w:bookmarkEnd w:id="0"/>
            <w:r w:rsidRPr="00373C3C">
              <w:rPr>
                <w:rFonts w:eastAsia="Times New Roman" w:cs="Times New Roman"/>
                <w:b/>
                <w:bCs/>
                <w:color w:val="000000"/>
                <w:sz w:val="24"/>
                <w:szCs w:val="24"/>
                <w:lang w:eastAsia="uk-UA"/>
              </w:rPr>
              <w:br/>
            </w:r>
          </w:p>
        </w:tc>
        <w:tc>
          <w:tcPr>
            <w:tcW w:w="2000" w:type="pct"/>
            <w:shd w:val="clear" w:color="auto" w:fill="auto"/>
            <w:hideMark/>
          </w:tcPr>
          <w:p w:rsidR="00373C3C" w:rsidRPr="00373C3C" w:rsidRDefault="00373C3C" w:rsidP="00373C3C">
            <w:pPr>
              <w:spacing w:before="150" w:after="150" w:line="240" w:lineRule="auto"/>
              <w:rPr>
                <w:rFonts w:eastAsia="Times New Roman" w:cs="Times New Roman"/>
                <w:sz w:val="24"/>
                <w:szCs w:val="24"/>
                <w:lang w:eastAsia="uk-UA"/>
              </w:rPr>
            </w:pPr>
            <w:r w:rsidRPr="00373C3C">
              <w:rPr>
                <w:rFonts w:eastAsia="Times New Roman" w:cs="Times New Roman"/>
                <w:b/>
                <w:bCs/>
                <w:color w:val="000000"/>
                <w:sz w:val="24"/>
                <w:szCs w:val="24"/>
                <w:lang w:eastAsia="uk-UA"/>
              </w:rPr>
              <w:t>Зареєстровано в Міністерстві</w:t>
            </w:r>
            <w:r w:rsidRPr="00373C3C">
              <w:rPr>
                <w:rFonts w:eastAsia="Times New Roman" w:cs="Times New Roman"/>
                <w:sz w:val="24"/>
                <w:szCs w:val="24"/>
                <w:lang w:eastAsia="uk-UA"/>
              </w:rPr>
              <w:br/>
            </w:r>
            <w:r w:rsidRPr="00373C3C">
              <w:rPr>
                <w:rFonts w:eastAsia="Times New Roman" w:cs="Times New Roman"/>
                <w:b/>
                <w:bCs/>
                <w:color w:val="000000"/>
                <w:sz w:val="24"/>
                <w:szCs w:val="24"/>
                <w:lang w:eastAsia="uk-UA"/>
              </w:rPr>
              <w:t>юстиції України</w:t>
            </w:r>
            <w:r w:rsidRPr="00373C3C">
              <w:rPr>
                <w:rFonts w:eastAsia="Times New Roman" w:cs="Times New Roman"/>
                <w:sz w:val="24"/>
                <w:szCs w:val="24"/>
                <w:lang w:eastAsia="uk-UA"/>
              </w:rPr>
              <w:br/>
            </w:r>
            <w:r w:rsidRPr="00373C3C">
              <w:rPr>
                <w:rFonts w:eastAsia="Times New Roman" w:cs="Times New Roman"/>
                <w:b/>
                <w:bCs/>
                <w:color w:val="000000"/>
                <w:sz w:val="24"/>
                <w:szCs w:val="24"/>
                <w:lang w:eastAsia="uk-UA"/>
              </w:rPr>
              <w:t>9 липня 2013 р.</w:t>
            </w:r>
            <w:r w:rsidRPr="00373C3C">
              <w:rPr>
                <w:rFonts w:eastAsia="Times New Roman" w:cs="Times New Roman"/>
                <w:sz w:val="24"/>
                <w:szCs w:val="24"/>
                <w:lang w:eastAsia="uk-UA"/>
              </w:rPr>
              <w:br/>
            </w:r>
            <w:r w:rsidRPr="00373C3C">
              <w:rPr>
                <w:rFonts w:eastAsia="Times New Roman" w:cs="Times New Roman"/>
                <w:b/>
                <w:bCs/>
                <w:color w:val="000000"/>
                <w:sz w:val="24"/>
                <w:szCs w:val="24"/>
                <w:lang w:eastAsia="uk-UA"/>
              </w:rPr>
              <w:t>за № 1152/23684</w:t>
            </w:r>
          </w:p>
        </w:tc>
      </w:tr>
    </w:tbl>
    <w:p w:rsidR="00373C3C" w:rsidRPr="00373C3C" w:rsidRDefault="00373C3C" w:rsidP="00373C3C">
      <w:pPr>
        <w:spacing w:before="300" w:after="450" w:line="240" w:lineRule="auto"/>
        <w:ind w:left="450" w:right="450"/>
        <w:jc w:val="center"/>
        <w:rPr>
          <w:rFonts w:eastAsia="Times New Roman" w:cs="Times New Roman"/>
          <w:color w:val="000000"/>
          <w:sz w:val="24"/>
          <w:szCs w:val="24"/>
          <w:lang w:eastAsia="uk-UA"/>
        </w:rPr>
      </w:pPr>
      <w:bookmarkStart w:id="1" w:name="n4"/>
      <w:bookmarkEnd w:id="1"/>
      <w:r w:rsidRPr="00373C3C">
        <w:rPr>
          <w:rFonts w:eastAsia="Times New Roman" w:cs="Times New Roman"/>
          <w:b/>
          <w:bCs/>
          <w:color w:val="000000"/>
          <w:sz w:val="32"/>
          <w:szCs w:val="32"/>
          <w:lang w:eastAsia="uk-UA"/>
        </w:rPr>
        <w:t>Про затвердження форм для надання статусу спеціальних сировинних зон</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2" w:name="n5"/>
      <w:bookmarkEnd w:id="2"/>
      <w:r w:rsidRPr="00373C3C">
        <w:rPr>
          <w:rFonts w:eastAsia="Times New Roman" w:cs="Times New Roman"/>
          <w:color w:val="000000"/>
          <w:sz w:val="24"/>
          <w:szCs w:val="24"/>
          <w:lang w:eastAsia="uk-UA"/>
        </w:rPr>
        <w:t>Відповідно до </w:t>
      </w:r>
      <w:hyperlink r:id="rId6" w:tgtFrame="_blank" w:history="1">
        <w:r w:rsidRPr="00373C3C">
          <w:rPr>
            <w:rFonts w:eastAsia="Times New Roman" w:cs="Times New Roman"/>
            <w:color w:val="0000FF"/>
            <w:sz w:val="24"/>
            <w:szCs w:val="24"/>
            <w:u w:val="single"/>
            <w:lang w:eastAsia="uk-UA"/>
          </w:rPr>
          <w:t xml:space="preserve">Закону України «Про дитяче </w:t>
        </w:r>
        <w:proofErr w:type="spellStart"/>
        <w:r w:rsidRPr="00373C3C">
          <w:rPr>
            <w:rFonts w:eastAsia="Times New Roman" w:cs="Times New Roman"/>
            <w:color w:val="0000FF"/>
            <w:sz w:val="24"/>
            <w:szCs w:val="24"/>
            <w:u w:val="single"/>
            <w:lang w:eastAsia="uk-UA"/>
          </w:rPr>
          <w:t>харчування»</w:t>
        </w:r>
      </w:hyperlink>
      <w:r w:rsidRPr="00373C3C">
        <w:rPr>
          <w:rFonts w:eastAsia="Times New Roman" w:cs="Times New Roman"/>
          <w:color w:val="000000"/>
          <w:sz w:val="24"/>
          <w:szCs w:val="24"/>
          <w:lang w:eastAsia="uk-UA"/>
        </w:rPr>
        <w:t> </w:t>
      </w:r>
      <w:proofErr w:type="spellEnd"/>
      <w:r w:rsidRPr="00373C3C">
        <w:rPr>
          <w:rFonts w:eastAsia="Times New Roman" w:cs="Times New Roman"/>
          <w:color w:val="000000"/>
          <w:sz w:val="24"/>
          <w:szCs w:val="24"/>
          <w:lang w:eastAsia="uk-UA"/>
        </w:rPr>
        <w:t>та </w:t>
      </w:r>
      <w:hyperlink r:id="rId7" w:tgtFrame="_blank" w:history="1">
        <w:r w:rsidRPr="00373C3C">
          <w:rPr>
            <w:rFonts w:eastAsia="Times New Roman" w:cs="Times New Roman"/>
            <w:color w:val="0000FF"/>
            <w:sz w:val="24"/>
            <w:szCs w:val="24"/>
            <w:u w:val="single"/>
            <w:lang w:eastAsia="uk-UA"/>
          </w:rPr>
          <w:t>постанови Кабінету Міністрів України від 03 жовтня 2007 року № 1195</w:t>
        </w:r>
      </w:hyperlink>
      <w:r w:rsidRPr="00373C3C">
        <w:rPr>
          <w:rFonts w:eastAsia="Times New Roman" w:cs="Times New Roman"/>
          <w:color w:val="000000"/>
          <w:sz w:val="24"/>
          <w:szCs w:val="24"/>
          <w:lang w:eastAsia="uk-UA"/>
        </w:rPr>
        <w:t> «Про затвердження Порядку надання статусу спеціальної зони з виробництва сировини, що використовується для виготовлення продуктів дитячого та дієтичного харчування» </w:t>
      </w:r>
      <w:r w:rsidRPr="00373C3C">
        <w:rPr>
          <w:rFonts w:eastAsia="Times New Roman" w:cs="Times New Roman"/>
          <w:b/>
          <w:bCs/>
          <w:color w:val="000000"/>
          <w:spacing w:val="30"/>
          <w:sz w:val="24"/>
          <w:szCs w:val="24"/>
          <w:lang w:eastAsia="uk-UA"/>
        </w:rPr>
        <w:t>НАКАЗУЮ:</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3" w:name="n6"/>
      <w:bookmarkEnd w:id="3"/>
      <w:r w:rsidRPr="00373C3C">
        <w:rPr>
          <w:rFonts w:eastAsia="Times New Roman" w:cs="Times New Roman"/>
          <w:color w:val="000000"/>
          <w:sz w:val="24"/>
          <w:szCs w:val="24"/>
          <w:lang w:eastAsia="uk-UA"/>
        </w:rPr>
        <w:t>1. Затвердити такі, що додаються:</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4" w:name="n7"/>
      <w:bookmarkEnd w:id="4"/>
      <w:r w:rsidRPr="00373C3C">
        <w:rPr>
          <w:rFonts w:eastAsia="Times New Roman" w:cs="Times New Roman"/>
          <w:color w:val="000000"/>
          <w:sz w:val="24"/>
          <w:szCs w:val="24"/>
          <w:lang w:eastAsia="uk-UA"/>
        </w:rPr>
        <w:t>1) </w:t>
      </w:r>
      <w:hyperlink r:id="rId8" w:history="1">
        <w:r w:rsidRPr="00373C3C">
          <w:rPr>
            <w:rFonts w:eastAsia="Times New Roman" w:cs="Times New Roman"/>
            <w:color w:val="0000FF"/>
            <w:sz w:val="24"/>
            <w:szCs w:val="24"/>
            <w:u w:val="single"/>
            <w:lang w:eastAsia="uk-UA"/>
          </w:rPr>
          <w:t>форму заяви на проведення оцінки території щодо її відповідності вимогам до спеціальних сировинних зон</w:t>
        </w:r>
      </w:hyperlink>
      <w:r w:rsidRPr="00373C3C">
        <w:rPr>
          <w:rFonts w:eastAsia="Times New Roman" w:cs="Times New Roman"/>
          <w:color w:val="000000"/>
          <w:sz w:val="24"/>
          <w:szCs w:val="24"/>
          <w:lang w:eastAsia="uk-UA"/>
        </w:rPr>
        <w:t>;</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5" w:name="n8"/>
      <w:bookmarkEnd w:id="5"/>
      <w:r w:rsidRPr="00373C3C">
        <w:rPr>
          <w:rFonts w:eastAsia="Times New Roman" w:cs="Times New Roman"/>
          <w:color w:val="000000"/>
          <w:sz w:val="24"/>
          <w:szCs w:val="24"/>
          <w:lang w:eastAsia="uk-UA"/>
        </w:rPr>
        <w:t>2) </w:t>
      </w:r>
      <w:hyperlink r:id="rId9" w:history="1">
        <w:r w:rsidRPr="00373C3C">
          <w:rPr>
            <w:rFonts w:eastAsia="Times New Roman" w:cs="Times New Roman"/>
            <w:color w:val="0000FF"/>
            <w:sz w:val="24"/>
            <w:szCs w:val="24"/>
            <w:u w:val="single"/>
            <w:lang w:eastAsia="uk-UA"/>
          </w:rPr>
          <w:t>форму агроекологічного обґрунтування</w:t>
        </w:r>
      </w:hyperlink>
      <w:r w:rsidRPr="00373C3C">
        <w:rPr>
          <w:rFonts w:eastAsia="Times New Roman" w:cs="Times New Roman"/>
          <w:color w:val="000000"/>
          <w:sz w:val="24"/>
          <w:szCs w:val="24"/>
          <w:lang w:eastAsia="uk-UA"/>
        </w:rPr>
        <w:t>;</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6" w:name="n9"/>
      <w:bookmarkEnd w:id="6"/>
      <w:r w:rsidRPr="00373C3C">
        <w:rPr>
          <w:rFonts w:eastAsia="Times New Roman" w:cs="Times New Roman"/>
          <w:color w:val="000000"/>
          <w:sz w:val="24"/>
          <w:szCs w:val="24"/>
          <w:lang w:eastAsia="uk-UA"/>
        </w:rPr>
        <w:t>3) </w:t>
      </w:r>
      <w:hyperlink r:id="rId10" w:history="1">
        <w:r w:rsidRPr="00373C3C">
          <w:rPr>
            <w:rFonts w:eastAsia="Times New Roman" w:cs="Times New Roman"/>
            <w:color w:val="0000FF"/>
            <w:sz w:val="24"/>
            <w:szCs w:val="24"/>
            <w:u w:val="single"/>
            <w:lang w:eastAsia="uk-UA"/>
          </w:rPr>
          <w:t>форму висновку комісії про можливість надання виробникові сировини статусу спеціальної сировинної зони</w:t>
        </w:r>
      </w:hyperlink>
      <w:r w:rsidRPr="00373C3C">
        <w:rPr>
          <w:rFonts w:eastAsia="Times New Roman" w:cs="Times New Roman"/>
          <w:color w:val="000000"/>
          <w:sz w:val="24"/>
          <w:szCs w:val="24"/>
          <w:lang w:eastAsia="uk-UA"/>
        </w:rPr>
        <w:t>;</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7" w:name="n10"/>
      <w:bookmarkEnd w:id="7"/>
      <w:r w:rsidRPr="00373C3C">
        <w:rPr>
          <w:rFonts w:eastAsia="Times New Roman" w:cs="Times New Roman"/>
          <w:color w:val="000000"/>
          <w:sz w:val="24"/>
          <w:szCs w:val="24"/>
          <w:lang w:eastAsia="uk-UA"/>
        </w:rPr>
        <w:t>4) </w:t>
      </w:r>
      <w:hyperlink r:id="rId11" w:history="1">
        <w:r w:rsidRPr="00373C3C">
          <w:rPr>
            <w:rFonts w:eastAsia="Times New Roman" w:cs="Times New Roman"/>
            <w:color w:val="0000FF"/>
            <w:sz w:val="24"/>
            <w:szCs w:val="24"/>
            <w:u w:val="single"/>
            <w:lang w:eastAsia="uk-UA"/>
          </w:rPr>
          <w:t>форму подання про внесення виробника сировини до реєстру спеціальних сировинних зон</w:t>
        </w:r>
      </w:hyperlink>
      <w:r w:rsidRPr="00373C3C">
        <w:rPr>
          <w:rFonts w:eastAsia="Times New Roman" w:cs="Times New Roman"/>
          <w:color w:val="000000"/>
          <w:sz w:val="24"/>
          <w:szCs w:val="24"/>
          <w:lang w:eastAsia="uk-UA"/>
        </w:rPr>
        <w:t>.</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8" w:name="n11"/>
      <w:bookmarkEnd w:id="8"/>
      <w:r w:rsidRPr="00373C3C">
        <w:rPr>
          <w:rFonts w:eastAsia="Times New Roman" w:cs="Times New Roman"/>
          <w:color w:val="000000"/>
          <w:sz w:val="24"/>
          <w:szCs w:val="24"/>
          <w:lang w:eastAsia="uk-UA"/>
        </w:rPr>
        <w:t>2. Департаменту продовольства (</w:t>
      </w:r>
      <w:proofErr w:type="spellStart"/>
      <w:r w:rsidRPr="00373C3C">
        <w:rPr>
          <w:rFonts w:eastAsia="Times New Roman" w:cs="Times New Roman"/>
          <w:color w:val="000000"/>
          <w:sz w:val="24"/>
          <w:szCs w:val="24"/>
          <w:lang w:eastAsia="uk-UA"/>
        </w:rPr>
        <w:t>Куць</w:t>
      </w:r>
      <w:proofErr w:type="spellEnd"/>
      <w:r w:rsidRPr="00373C3C">
        <w:rPr>
          <w:rFonts w:eastAsia="Times New Roman" w:cs="Times New Roman"/>
          <w:color w:val="000000"/>
          <w:sz w:val="24"/>
          <w:szCs w:val="24"/>
          <w:lang w:eastAsia="uk-UA"/>
        </w:rPr>
        <w:t xml:space="preserve"> О.І.) забезпечити ведення реєстру спеціальних сировинних зон.</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9" w:name="n12"/>
      <w:bookmarkEnd w:id="9"/>
      <w:r w:rsidRPr="00373C3C">
        <w:rPr>
          <w:rFonts w:eastAsia="Times New Roman" w:cs="Times New Roman"/>
          <w:color w:val="000000"/>
          <w:sz w:val="24"/>
          <w:szCs w:val="24"/>
          <w:lang w:eastAsia="uk-UA"/>
        </w:rPr>
        <w:t>3. Державній установі «Інститут охорони ґрунтів України» (</w:t>
      </w:r>
      <w:proofErr w:type="spellStart"/>
      <w:r w:rsidRPr="00373C3C">
        <w:rPr>
          <w:rFonts w:eastAsia="Times New Roman" w:cs="Times New Roman"/>
          <w:color w:val="000000"/>
          <w:sz w:val="24"/>
          <w:szCs w:val="24"/>
          <w:lang w:eastAsia="uk-UA"/>
        </w:rPr>
        <w:t>Яцук</w:t>
      </w:r>
      <w:proofErr w:type="spellEnd"/>
      <w:r w:rsidRPr="00373C3C">
        <w:rPr>
          <w:rFonts w:eastAsia="Times New Roman" w:cs="Times New Roman"/>
          <w:color w:val="000000"/>
          <w:sz w:val="24"/>
          <w:szCs w:val="24"/>
          <w:lang w:eastAsia="uk-UA"/>
        </w:rPr>
        <w:t xml:space="preserve"> І.П.) забезпечити у встановленому порядку своєчасне проведення агрохімічної паспортизації земель сільськогосподарського призначення для надання статусу спеціальних сировинних зон.</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10" w:name="n13"/>
      <w:bookmarkEnd w:id="10"/>
      <w:r w:rsidRPr="00373C3C">
        <w:rPr>
          <w:rFonts w:eastAsia="Times New Roman" w:cs="Times New Roman"/>
          <w:color w:val="000000"/>
          <w:sz w:val="24"/>
          <w:szCs w:val="24"/>
          <w:lang w:eastAsia="uk-UA"/>
        </w:rPr>
        <w:t>4. Департаменту продовольства, Департаменту землеробства (Демидов О.А.), Міністерству аграрної політики та продовольства Автономної Республіки Крим, головним управлінням (департаментам) агропромислового розвитку обласних, управлінню промисловості, агропромислового розвитку та торгівлі Севастопольської міської держадміністрацій забезпечити координацію роботи щодо обґрунтованості надання виробникам сировини статусу спеціальних сировинних зон та виконання вимог їх експлуатації.</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11" w:name="n14"/>
      <w:bookmarkEnd w:id="11"/>
      <w:r w:rsidRPr="00373C3C">
        <w:rPr>
          <w:rFonts w:eastAsia="Times New Roman" w:cs="Times New Roman"/>
          <w:color w:val="000000"/>
          <w:sz w:val="24"/>
          <w:szCs w:val="24"/>
          <w:lang w:eastAsia="uk-UA"/>
        </w:rPr>
        <w:lastRenderedPageBreak/>
        <w:t xml:space="preserve">5. Міністерству аграрної політики та продовольства Автономної Республіки Крим, головним управлінням (департаментам) агропромислового розвитку обласних, управлінню промисловості, агропромислового розвитку та торгівлі Севастопольської міської держадміністрацій забезпечити подання до </w:t>
      </w:r>
      <w:proofErr w:type="spellStart"/>
      <w:r w:rsidRPr="00373C3C">
        <w:rPr>
          <w:rFonts w:eastAsia="Times New Roman" w:cs="Times New Roman"/>
          <w:color w:val="000000"/>
          <w:sz w:val="24"/>
          <w:szCs w:val="24"/>
          <w:lang w:eastAsia="uk-UA"/>
        </w:rPr>
        <w:t>Мінагрополітики</w:t>
      </w:r>
      <w:proofErr w:type="spellEnd"/>
      <w:r w:rsidRPr="00373C3C">
        <w:rPr>
          <w:rFonts w:eastAsia="Times New Roman" w:cs="Times New Roman"/>
          <w:color w:val="000000"/>
          <w:sz w:val="24"/>
          <w:szCs w:val="24"/>
          <w:lang w:eastAsia="uk-UA"/>
        </w:rPr>
        <w:t xml:space="preserve"> України щорічно до 01 лютого інформації про надання виробникам сировини статусу спеціальних сировинних зон станом на 01 січня.</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12" w:name="n15"/>
      <w:bookmarkEnd w:id="12"/>
      <w:r w:rsidRPr="00373C3C">
        <w:rPr>
          <w:rFonts w:eastAsia="Times New Roman" w:cs="Times New Roman"/>
          <w:color w:val="000000"/>
          <w:sz w:val="24"/>
          <w:szCs w:val="24"/>
          <w:lang w:eastAsia="uk-UA"/>
        </w:rPr>
        <w:t>6. Департаменту продовольства забезпечити подання цього наказу на державну реєстрацію до Міністерства юстиції України.</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13" w:name="n16"/>
      <w:bookmarkEnd w:id="13"/>
      <w:r w:rsidRPr="00373C3C">
        <w:rPr>
          <w:rFonts w:eastAsia="Times New Roman" w:cs="Times New Roman"/>
          <w:color w:val="000000"/>
          <w:sz w:val="24"/>
          <w:szCs w:val="24"/>
          <w:lang w:eastAsia="uk-UA"/>
        </w:rPr>
        <w:t>7. Цей наказ набирає чинності з дня його офіційного опублікування.</w:t>
      </w:r>
    </w:p>
    <w:p w:rsidR="00373C3C" w:rsidRPr="00373C3C" w:rsidRDefault="00373C3C" w:rsidP="00373C3C">
      <w:pPr>
        <w:spacing w:after="150" w:line="240" w:lineRule="auto"/>
        <w:ind w:firstLine="450"/>
        <w:jc w:val="both"/>
        <w:rPr>
          <w:rFonts w:eastAsia="Times New Roman" w:cs="Times New Roman"/>
          <w:color w:val="000000"/>
          <w:sz w:val="24"/>
          <w:szCs w:val="24"/>
          <w:lang w:eastAsia="uk-UA"/>
        </w:rPr>
      </w:pPr>
      <w:bookmarkStart w:id="14" w:name="n17"/>
      <w:bookmarkEnd w:id="14"/>
      <w:r w:rsidRPr="00373C3C">
        <w:rPr>
          <w:rFonts w:eastAsia="Times New Roman" w:cs="Times New Roman"/>
          <w:color w:val="000000"/>
          <w:sz w:val="24"/>
          <w:szCs w:val="24"/>
          <w:lang w:eastAsia="uk-UA"/>
        </w:rPr>
        <w:t>8. Контроль за виконанням наказу покласти на заступника Міністра - керівника апарату Сеня О.В.</w:t>
      </w:r>
    </w:p>
    <w:tbl>
      <w:tblPr>
        <w:tblW w:w="5000" w:type="pct"/>
        <w:tblCellMar>
          <w:left w:w="0" w:type="dxa"/>
          <w:right w:w="0" w:type="dxa"/>
        </w:tblCellMar>
        <w:tblLook w:val="04A0" w:firstRow="1" w:lastRow="0" w:firstColumn="1" w:lastColumn="0" w:noHBand="0" w:noVBand="1"/>
      </w:tblPr>
      <w:tblGrid>
        <w:gridCol w:w="4048"/>
        <w:gridCol w:w="5590"/>
      </w:tblGrid>
      <w:tr w:rsidR="00373C3C" w:rsidRPr="00373C3C" w:rsidTr="00373C3C">
        <w:tc>
          <w:tcPr>
            <w:tcW w:w="2100" w:type="pct"/>
            <w:shd w:val="clear" w:color="auto" w:fill="auto"/>
            <w:hideMark/>
          </w:tcPr>
          <w:p w:rsidR="00373C3C" w:rsidRPr="00373C3C" w:rsidRDefault="00373C3C" w:rsidP="00373C3C">
            <w:pPr>
              <w:spacing w:before="300" w:after="150" w:line="240" w:lineRule="auto"/>
              <w:jc w:val="center"/>
              <w:rPr>
                <w:rFonts w:eastAsia="Times New Roman" w:cs="Times New Roman"/>
                <w:sz w:val="24"/>
                <w:szCs w:val="24"/>
                <w:lang w:eastAsia="uk-UA"/>
              </w:rPr>
            </w:pPr>
            <w:bookmarkStart w:id="15" w:name="n18"/>
            <w:bookmarkEnd w:id="15"/>
            <w:r w:rsidRPr="00373C3C">
              <w:rPr>
                <w:rFonts w:eastAsia="Times New Roman" w:cs="Times New Roman"/>
                <w:b/>
                <w:bCs/>
                <w:color w:val="000000"/>
                <w:sz w:val="24"/>
                <w:szCs w:val="24"/>
                <w:lang w:eastAsia="uk-UA"/>
              </w:rPr>
              <w:t>Перший заступник Міністра</w:t>
            </w:r>
          </w:p>
        </w:tc>
        <w:tc>
          <w:tcPr>
            <w:tcW w:w="3500" w:type="pct"/>
            <w:shd w:val="clear" w:color="auto" w:fill="auto"/>
            <w:hideMark/>
          </w:tcPr>
          <w:p w:rsidR="00373C3C" w:rsidRPr="00373C3C" w:rsidRDefault="00373C3C" w:rsidP="00373C3C">
            <w:pPr>
              <w:spacing w:before="300" w:after="0" w:line="240" w:lineRule="auto"/>
              <w:jc w:val="right"/>
              <w:rPr>
                <w:rFonts w:eastAsia="Times New Roman" w:cs="Times New Roman"/>
                <w:sz w:val="24"/>
                <w:szCs w:val="24"/>
                <w:lang w:eastAsia="uk-UA"/>
              </w:rPr>
            </w:pPr>
            <w:r w:rsidRPr="00373C3C">
              <w:rPr>
                <w:rFonts w:eastAsia="Times New Roman" w:cs="Times New Roman"/>
                <w:b/>
                <w:bCs/>
                <w:color w:val="000000"/>
                <w:sz w:val="24"/>
                <w:szCs w:val="24"/>
                <w:lang w:eastAsia="uk-UA"/>
              </w:rPr>
              <w:t xml:space="preserve">І.Ю. </w:t>
            </w:r>
            <w:proofErr w:type="spellStart"/>
            <w:r w:rsidRPr="00373C3C">
              <w:rPr>
                <w:rFonts w:eastAsia="Times New Roman" w:cs="Times New Roman"/>
                <w:b/>
                <w:bCs/>
                <w:color w:val="000000"/>
                <w:sz w:val="24"/>
                <w:szCs w:val="24"/>
                <w:lang w:eastAsia="uk-UA"/>
              </w:rPr>
              <w:t>Бісюк</w:t>
            </w:r>
            <w:proofErr w:type="spellEnd"/>
          </w:p>
        </w:tc>
      </w:tr>
    </w:tbl>
    <w:p w:rsidR="003B4889" w:rsidRDefault="003B4889">
      <w:bookmarkStart w:id="16" w:name="_GoBack"/>
      <w:bookmarkEnd w:id="16"/>
    </w:p>
    <w:sectPr w:rsidR="003B4889" w:rsidSect="00E354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C3C"/>
    <w:rsid w:val="00373C3C"/>
    <w:rsid w:val="003B4889"/>
    <w:rsid w:val="004D1560"/>
    <w:rsid w:val="00E354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3C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3C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3C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3C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3379">
      <w:bodyDiv w:val="1"/>
      <w:marLeft w:val="0"/>
      <w:marRight w:val="0"/>
      <w:marTop w:val="0"/>
      <w:marBottom w:val="0"/>
      <w:divBdr>
        <w:top w:val="none" w:sz="0" w:space="0" w:color="auto"/>
        <w:left w:val="none" w:sz="0" w:space="0" w:color="auto"/>
        <w:bottom w:val="none" w:sz="0" w:space="0" w:color="auto"/>
        <w:right w:val="none" w:sz="0" w:space="0" w:color="auto"/>
      </w:divBdr>
      <w:divsChild>
        <w:div w:id="811167869">
          <w:marLeft w:val="0"/>
          <w:marRight w:val="0"/>
          <w:marTop w:val="0"/>
          <w:marBottom w:val="0"/>
          <w:divBdr>
            <w:top w:val="none" w:sz="0" w:space="0" w:color="auto"/>
            <w:left w:val="none" w:sz="0" w:space="0" w:color="auto"/>
            <w:bottom w:val="none" w:sz="0" w:space="0" w:color="auto"/>
            <w:right w:val="none" w:sz="0" w:space="0" w:color="auto"/>
          </w:divBdr>
          <w:divsChild>
            <w:div w:id="959185664">
              <w:marLeft w:val="0"/>
              <w:marRight w:val="0"/>
              <w:marTop w:val="0"/>
              <w:marBottom w:val="0"/>
              <w:divBdr>
                <w:top w:val="none" w:sz="0" w:space="0" w:color="auto"/>
                <w:left w:val="none" w:sz="0" w:space="0" w:color="auto"/>
                <w:bottom w:val="none" w:sz="0" w:space="0" w:color="auto"/>
                <w:right w:val="none" w:sz="0" w:space="0" w:color="auto"/>
              </w:divBdr>
              <w:divsChild>
                <w:div w:id="1401902209">
                  <w:marLeft w:val="0"/>
                  <w:marRight w:val="0"/>
                  <w:marTop w:val="150"/>
                  <w:marBottom w:val="150"/>
                  <w:divBdr>
                    <w:top w:val="none" w:sz="0" w:space="0" w:color="auto"/>
                    <w:left w:val="none" w:sz="0" w:space="0" w:color="auto"/>
                    <w:bottom w:val="none" w:sz="0" w:space="0" w:color="auto"/>
                    <w:right w:val="none" w:sz="0" w:space="0" w:color="auto"/>
                  </w:divBdr>
                </w:div>
                <w:div w:id="8177205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44747473">
      <w:bodyDiv w:val="1"/>
      <w:marLeft w:val="0"/>
      <w:marRight w:val="0"/>
      <w:marTop w:val="0"/>
      <w:marBottom w:val="0"/>
      <w:divBdr>
        <w:top w:val="none" w:sz="0" w:space="0" w:color="auto"/>
        <w:left w:val="none" w:sz="0" w:space="0" w:color="auto"/>
        <w:bottom w:val="none" w:sz="0" w:space="0" w:color="auto"/>
        <w:right w:val="none" w:sz="0" w:space="0" w:color="auto"/>
      </w:divBdr>
      <w:divsChild>
        <w:div w:id="165486182">
          <w:marLeft w:val="0"/>
          <w:marRight w:val="0"/>
          <w:marTop w:val="0"/>
          <w:marBottom w:val="0"/>
          <w:divBdr>
            <w:top w:val="none" w:sz="0" w:space="0" w:color="auto"/>
            <w:left w:val="none" w:sz="0" w:space="0" w:color="auto"/>
            <w:bottom w:val="none" w:sz="0" w:space="0" w:color="auto"/>
            <w:right w:val="none" w:sz="0" w:space="0" w:color="auto"/>
          </w:divBdr>
          <w:divsChild>
            <w:div w:id="105201702">
              <w:marLeft w:val="0"/>
              <w:marRight w:val="0"/>
              <w:marTop w:val="0"/>
              <w:marBottom w:val="0"/>
              <w:divBdr>
                <w:top w:val="none" w:sz="0" w:space="0" w:color="auto"/>
                <w:left w:val="none" w:sz="0" w:space="0" w:color="auto"/>
                <w:bottom w:val="none" w:sz="0" w:space="0" w:color="auto"/>
                <w:right w:val="none" w:sz="0" w:space="0" w:color="auto"/>
              </w:divBdr>
              <w:divsChild>
                <w:div w:id="1179739988">
                  <w:marLeft w:val="0"/>
                  <w:marRight w:val="0"/>
                  <w:marTop w:val="150"/>
                  <w:marBottom w:val="150"/>
                  <w:divBdr>
                    <w:top w:val="none" w:sz="0" w:space="0" w:color="auto"/>
                    <w:left w:val="none" w:sz="0" w:space="0" w:color="auto"/>
                    <w:bottom w:val="none" w:sz="0" w:space="0" w:color="auto"/>
                    <w:right w:val="none" w:sz="0" w:space="0" w:color="auto"/>
                  </w:divBdr>
                </w:div>
                <w:div w:id="8723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text/17/f404438n19.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195-2007-%D0%B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142-16" TargetMode="External"/><Relationship Id="rId11" Type="http://schemas.openxmlformats.org/officeDocument/2006/relationships/hyperlink" Target="https://zakon.rada.gov.ua/laws/file/text/17/f404438n22.doc" TargetMode="External"/><Relationship Id="rId5" Type="http://schemas.openxmlformats.org/officeDocument/2006/relationships/image" Target="media/image1.gif"/><Relationship Id="rId10" Type="http://schemas.openxmlformats.org/officeDocument/2006/relationships/hyperlink" Target="https://zakon.rada.gov.ua/laws/file/text/20/f404438n23.doc" TargetMode="External"/><Relationship Id="rId4" Type="http://schemas.openxmlformats.org/officeDocument/2006/relationships/webSettings" Target="webSettings.xml"/><Relationship Id="rId9" Type="http://schemas.openxmlformats.org/officeDocument/2006/relationships/hyperlink" Target="https://zakon.rada.gov.ua/laws/file/text/17/f404438n2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1864</Words>
  <Characters>1064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2020-01-22T11:37:00Z</dcterms:created>
  <dcterms:modified xsi:type="dcterms:W3CDTF">2020-01-22T11:39:00Z</dcterms:modified>
</cp:coreProperties>
</file>