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13442" w:rsidRPr="00674307" w:rsidRDefault="00A26410" w:rsidP="00E13442">
      <w:pPr>
        <w:tabs>
          <w:tab w:val="left" w:pos="6105"/>
        </w:tabs>
        <w:spacing w:after="0" w:line="240" w:lineRule="auto"/>
        <w:ind w:left="4956"/>
        <w:rPr>
          <w:rFonts w:ascii="Times New Roman" w:hAnsi="Times New Roman"/>
          <w:sz w:val="28"/>
          <w:szCs w:val="28"/>
          <w:lang w:val="uk-UA"/>
        </w:rPr>
      </w:pPr>
      <w:r w:rsidRPr="00674307">
        <w:rPr>
          <w:rFonts w:ascii="Times New Roman" w:hAnsi="Times New Roman"/>
          <w:sz w:val="28"/>
          <w:szCs w:val="28"/>
          <w:lang w:val="uk-UA"/>
        </w:rPr>
        <w:t>Додаток 1</w:t>
      </w:r>
    </w:p>
    <w:p w:rsidR="00A26410" w:rsidRPr="00674307" w:rsidRDefault="00A26410" w:rsidP="00E13442">
      <w:pPr>
        <w:tabs>
          <w:tab w:val="left" w:pos="6105"/>
        </w:tabs>
        <w:spacing w:after="0" w:line="240" w:lineRule="auto"/>
        <w:ind w:left="4956"/>
        <w:rPr>
          <w:rFonts w:ascii="Times New Roman" w:hAnsi="Times New Roman"/>
          <w:sz w:val="28"/>
          <w:szCs w:val="28"/>
          <w:lang w:val="uk-UA"/>
        </w:rPr>
      </w:pPr>
      <w:r w:rsidRPr="00674307">
        <w:rPr>
          <w:rFonts w:ascii="Times New Roman" w:hAnsi="Times New Roman"/>
          <w:sz w:val="28"/>
          <w:szCs w:val="28"/>
          <w:lang w:val="uk-UA"/>
        </w:rPr>
        <w:t xml:space="preserve">До рішення  30 сесії селищної ради 1 скликання </w:t>
      </w:r>
      <w:r w:rsidR="00E13442" w:rsidRPr="00674307">
        <w:rPr>
          <w:rFonts w:ascii="Times New Roman" w:hAnsi="Times New Roman"/>
          <w:sz w:val="28"/>
          <w:szCs w:val="28"/>
          <w:lang w:val="uk-UA"/>
        </w:rPr>
        <w:t>в</w:t>
      </w:r>
      <w:r w:rsidRPr="00674307">
        <w:rPr>
          <w:rFonts w:ascii="Times New Roman" w:hAnsi="Times New Roman"/>
          <w:sz w:val="28"/>
          <w:szCs w:val="28"/>
          <w:lang w:val="uk-UA"/>
        </w:rPr>
        <w:t>ід 30.01.2018 року</w:t>
      </w:r>
    </w:p>
    <w:p w:rsidR="00E13442" w:rsidRPr="00674307" w:rsidRDefault="00E13442" w:rsidP="00E13442">
      <w:pPr>
        <w:tabs>
          <w:tab w:val="left" w:pos="6105"/>
        </w:tabs>
        <w:spacing w:after="0" w:line="240" w:lineRule="auto"/>
        <w:rPr>
          <w:rFonts w:ascii="Times New Roman" w:hAnsi="Times New Roman"/>
          <w:sz w:val="28"/>
          <w:szCs w:val="28"/>
          <w:lang w:val="uk-UA"/>
        </w:rPr>
      </w:pPr>
    </w:p>
    <w:p w:rsidR="00E13442" w:rsidRPr="00674307" w:rsidRDefault="00E13442" w:rsidP="00E13442">
      <w:pPr>
        <w:tabs>
          <w:tab w:val="left" w:pos="6105"/>
        </w:tabs>
        <w:spacing w:after="0" w:line="240" w:lineRule="auto"/>
        <w:rPr>
          <w:rFonts w:ascii="Times New Roman" w:hAnsi="Times New Roman"/>
          <w:sz w:val="28"/>
          <w:szCs w:val="28"/>
          <w:lang w:val="uk-UA"/>
        </w:rPr>
      </w:pPr>
    </w:p>
    <w:p w:rsidR="00A26410" w:rsidRPr="00674307" w:rsidRDefault="00A26410" w:rsidP="00E13442">
      <w:pPr>
        <w:pStyle w:val="a7"/>
        <w:spacing w:before="0" w:after="0"/>
        <w:jc w:val="center"/>
        <w:rPr>
          <w:b/>
          <w:sz w:val="28"/>
          <w:szCs w:val="28"/>
          <w:lang w:val="uk-UA"/>
        </w:rPr>
      </w:pPr>
      <w:r w:rsidRPr="00674307">
        <w:rPr>
          <w:sz w:val="28"/>
          <w:szCs w:val="28"/>
          <w:lang w:val="uk-UA"/>
        </w:rPr>
        <w:tab/>
      </w:r>
      <w:r w:rsidRPr="00674307">
        <w:rPr>
          <w:b/>
          <w:sz w:val="28"/>
          <w:szCs w:val="28"/>
          <w:lang w:val="uk-UA"/>
        </w:rPr>
        <w:t xml:space="preserve">Заходи щодо економного та раціонального використання бюджетних коштів, передбачених для  утримання виконавчого апарату </w:t>
      </w:r>
      <w:proofErr w:type="spellStart"/>
      <w:r w:rsidRPr="00674307">
        <w:rPr>
          <w:b/>
          <w:sz w:val="28"/>
          <w:szCs w:val="28"/>
          <w:lang w:val="uk-UA"/>
        </w:rPr>
        <w:t>Семенівської</w:t>
      </w:r>
      <w:proofErr w:type="spellEnd"/>
      <w:r w:rsidRPr="00674307">
        <w:rPr>
          <w:b/>
          <w:sz w:val="28"/>
          <w:szCs w:val="28"/>
          <w:lang w:val="uk-UA"/>
        </w:rPr>
        <w:t xml:space="preserve"> селищної ради та бюджетних установ, які використовують кошти місцевого бюджету на 2018-2020 роки</w:t>
      </w:r>
    </w:p>
    <w:p w:rsidR="00E13442" w:rsidRPr="00674307" w:rsidRDefault="00E13442" w:rsidP="00E13442">
      <w:pPr>
        <w:pStyle w:val="a7"/>
        <w:spacing w:before="0" w:after="0"/>
        <w:jc w:val="center"/>
        <w:rPr>
          <w:rStyle w:val="a3"/>
          <w:sz w:val="28"/>
          <w:szCs w:val="28"/>
          <w:lang w:val="uk-UA"/>
        </w:rPr>
      </w:pPr>
    </w:p>
    <w:tbl>
      <w:tblPr>
        <w:tblW w:w="9468" w:type="dxa"/>
        <w:tblInd w:w="-54" w:type="dxa"/>
        <w:tblLayout w:type="fixed"/>
        <w:tblCellMar>
          <w:left w:w="0" w:type="dxa"/>
          <w:right w:w="0" w:type="dxa"/>
        </w:tblCellMar>
        <w:tblLook w:val="0000"/>
      </w:tblPr>
      <w:tblGrid>
        <w:gridCol w:w="1191"/>
        <w:gridCol w:w="4395"/>
        <w:gridCol w:w="1449"/>
        <w:gridCol w:w="2433"/>
      </w:tblGrid>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 xml:space="preserve">№№ </w:t>
            </w:r>
            <w:proofErr w:type="spellStart"/>
            <w:r w:rsidRPr="00674307">
              <w:rPr>
                <w:rStyle w:val="a3"/>
                <w:sz w:val="28"/>
                <w:szCs w:val="28"/>
                <w:lang w:val="uk-UA"/>
              </w:rPr>
              <w:t>п.п</w:t>
            </w:r>
            <w:proofErr w:type="spellEnd"/>
            <w:r w:rsidRPr="00674307">
              <w:rPr>
                <w:rStyle w:val="a3"/>
                <w:sz w:val="28"/>
                <w:szCs w:val="28"/>
                <w:lang w:val="uk-UA"/>
              </w:rPr>
              <w:t>.</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Зміст заходу відповідно до визначеного завдання</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Термін виконання</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pStyle w:val="a7"/>
              <w:spacing w:before="0" w:after="0"/>
              <w:jc w:val="center"/>
              <w:rPr>
                <w:sz w:val="28"/>
                <w:szCs w:val="28"/>
                <w:lang w:val="uk-UA"/>
              </w:rPr>
            </w:pPr>
            <w:r w:rsidRPr="00674307">
              <w:rPr>
                <w:rStyle w:val="a3"/>
                <w:sz w:val="28"/>
                <w:szCs w:val="28"/>
                <w:lang w:val="uk-UA"/>
              </w:rPr>
              <w:t>Відповідальні виконавці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1</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2</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pStyle w:val="a7"/>
              <w:spacing w:before="0" w:after="0"/>
              <w:jc w:val="center"/>
              <w:rPr>
                <w:rStyle w:val="a3"/>
                <w:sz w:val="28"/>
                <w:szCs w:val="28"/>
                <w:lang w:val="uk-UA"/>
              </w:rPr>
            </w:pPr>
            <w:r w:rsidRPr="00674307">
              <w:rPr>
                <w:rStyle w:val="a3"/>
                <w:sz w:val="28"/>
                <w:szCs w:val="28"/>
                <w:lang w:val="uk-UA"/>
              </w:rPr>
              <w:t>3</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pStyle w:val="a7"/>
              <w:spacing w:before="0" w:after="0"/>
              <w:jc w:val="center"/>
              <w:rPr>
                <w:sz w:val="28"/>
                <w:szCs w:val="28"/>
                <w:lang w:val="uk-UA"/>
              </w:rPr>
            </w:pPr>
            <w:r w:rsidRPr="00674307">
              <w:rPr>
                <w:rStyle w:val="a3"/>
                <w:sz w:val="28"/>
                <w:szCs w:val="28"/>
                <w:lang w:val="uk-UA"/>
              </w:rPr>
              <w:t>4</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1</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Розробити та затвердити заходи з енергозбереження із  забезпеченням зменшення витрат на оплату ко</w:t>
            </w:r>
            <w:r w:rsidR="004D788C" w:rsidRPr="00674307">
              <w:rPr>
                <w:rStyle w:val="a3"/>
                <w:rFonts w:ascii="Times New Roman" w:hAnsi="Times New Roman"/>
                <w:b w:val="0"/>
                <w:bCs w:val="0"/>
                <w:sz w:val="28"/>
                <w:szCs w:val="28"/>
                <w:lang w:val="uk-UA"/>
              </w:rPr>
              <w:t>мунальних послуг та енергоносії</w:t>
            </w:r>
            <w:r w:rsidRPr="00674307">
              <w:rPr>
                <w:rStyle w:val="a3"/>
                <w:rFonts w:ascii="Times New Roman" w:hAnsi="Times New Roman"/>
                <w:b w:val="0"/>
                <w:bCs w:val="0"/>
                <w:sz w:val="28"/>
                <w:szCs w:val="28"/>
                <w:lang w:val="uk-UA"/>
              </w:rPr>
              <w:t>в</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Постійно</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Селищний голова,</w:t>
            </w:r>
          </w:p>
          <w:p w:rsidR="00A26410" w:rsidRPr="00674307" w:rsidRDefault="00A26410" w:rsidP="00E13442">
            <w:pPr>
              <w:spacing w:after="0" w:line="240" w:lineRule="auto"/>
              <w:rPr>
                <w:rFonts w:ascii="Times New Roman" w:hAnsi="Times New Roman"/>
                <w:sz w:val="28"/>
                <w:szCs w:val="28"/>
                <w:lang w:val="uk-UA"/>
              </w:rPr>
            </w:pPr>
            <w:r w:rsidRPr="00674307">
              <w:rPr>
                <w:rFonts w:ascii="Times New Roman" w:hAnsi="Times New Roman"/>
                <w:sz w:val="28"/>
                <w:szCs w:val="28"/>
                <w:lang w:val="uk-UA"/>
              </w:rPr>
              <w:t>Відділ бухгалтерського обліку та звітності</w:t>
            </w:r>
          </w:p>
        </w:tc>
      </w:tr>
      <w:tr w:rsidR="00A26410" w:rsidRPr="00B040E0"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2</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Провести роботу з кожним орендарем щодо перегляду ставок плати за оренду землі та комунального майна відповідно до ринкових умов</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77782C"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color w:val="000000"/>
                <w:sz w:val="28"/>
                <w:szCs w:val="28"/>
                <w:lang w:val="uk-UA"/>
              </w:rPr>
              <w:t>Відділ земельних відносин,</w:t>
            </w:r>
            <w:r w:rsidR="00A26410" w:rsidRPr="00674307">
              <w:rPr>
                <w:rStyle w:val="a3"/>
                <w:rFonts w:ascii="Times New Roman" w:hAnsi="Times New Roman"/>
                <w:b w:val="0"/>
                <w:bCs w:val="0"/>
                <w:sz w:val="28"/>
                <w:szCs w:val="28"/>
                <w:lang w:val="uk-UA"/>
              </w:rPr>
              <w:t xml:space="preserve"> 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3</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Здійснювати заповнення вакантних посад за умови забезпечення у повному обсязі  усіх обов’язкових виплат із заробітної плати працівникам у межах затвердженого фонду оплати праці</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Селищний голова,</w:t>
            </w:r>
          </w:p>
          <w:p w:rsidR="00A26410" w:rsidRPr="00674307" w:rsidRDefault="00A26410" w:rsidP="00E13442">
            <w:pPr>
              <w:spacing w:after="0" w:line="240" w:lineRule="auto"/>
              <w:rPr>
                <w:rFonts w:ascii="Times New Roman" w:hAnsi="Times New Roman"/>
                <w:sz w:val="28"/>
                <w:szCs w:val="28"/>
                <w:lang w:val="uk-UA"/>
              </w:rPr>
            </w:pPr>
            <w:r w:rsidRPr="00674307">
              <w:rPr>
                <w:rFonts w:ascii="Times New Roman" w:hAnsi="Times New Roman"/>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4</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Забезпечити щоденний контроль за використанням усіх видів енергоносіїв та комунальних послуг.</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5</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Планувати видатки, пов’язані із стимулюванням працівників бюджетних установ, за умови забезпечення у повному обсязі обов’язкових виплат із заробітної плати працівникам, інших соціальних виплат та видатків на проведення  розрахунків за комунальні послуги та  енергоносії всіх бюджетних установ, що належать до сфери управління відповідного розпорядника бюджетних коштів.</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lastRenderedPageBreak/>
              <w:t>6</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Забезпечити укладення договорів за кожним видом енергоносіїв, що споживаються, у межах затверджених лімітів споживання.</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За потребою</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7</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Вжити заходів щодо безумовного виконання вимог статті 77 Бюджетного кодексу України у частині  врахування в першочерговому порядку потреби в коштах:</w:t>
            </w:r>
          </w:p>
          <w:p w:rsidR="00A26410" w:rsidRPr="00674307" w:rsidRDefault="00A26410" w:rsidP="00E13442">
            <w:pPr>
              <w:pStyle w:val="a6"/>
              <w:tabs>
                <w:tab w:val="left" w:pos="6690"/>
              </w:tabs>
              <w:spacing w:after="0" w:line="240" w:lineRule="auto"/>
              <w:ind w:left="0"/>
              <w:rPr>
                <w:rFonts w:ascii="Times New Roman" w:hAnsi="Times New Roman"/>
                <w:sz w:val="28"/>
                <w:szCs w:val="28"/>
                <w:lang w:val="uk-UA"/>
              </w:rPr>
            </w:pPr>
            <w:r w:rsidRPr="00674307">
              <w:rPr>
                <w:rFonts w:ascii="Times New Roman" w:hAnsi="Times New Roman"/>
                <w:sz w:val="28"/>
                <w:szCs w:val="28"/>
                <w:lang w:val="uk-UA"/>
              </w:rPr>
              <w:t>- на оплату праці працівників установи відповідно до встановлених законодавством України умов оплати праці та розміру мінімальної заробітної плати;</w:t>
            </w:r>
          </w:p>
          <w:p w:rsidR="00A26410" w:rsidRPr="00674307" w:rsidRDefault="00A26410" w:rsidP="00E13442">
            <w:pPr>
              <w:pStyle w:val="a6"/>
              <w:tabs>
                <w:tab w:val="left" w:pos="6690"/>
              </w:tabs>
              <w:spacing w:after="0" w:line="240" w:lineRule="auto"/>
              <w:ind w:left="0"/>
              <w:rPr>
                <w:rStyle w:val="a3"/>
                <w:rFonts w:ascii="Times New Roman" w:hAnsi="Times New Roman"/>
                <w:b w:val="0"/>
                <w:bCs w:val="0"/>
                <w:sz w:val="28"/>
                <w:szCs w:val="28"/>
                <w:lang w:val="uk-UA"/>
              </w:rPr>
            </w:pPr>
            <w:r w:rsidRPr="00674307">
              <w:rPr>
                <w:rFonts w:ascii="Times New Roman" w:hAnsi="Times New Roman"/>
                <w:sz w:val="28"/>
                <w:szCs w:val="28"/>
                <w:lang w:val="uk-UA"/>
              </w:rPr>
              <w:t>- на проведення розрахунків за енергоносії, комунальні послуги та послуги зв’язку, які споживаються установою.</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8</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Розробити та затвердити щорічний план заходів з енергозбереження із забезпеченням обґрунтованого зменшення споживання комунальних послуг та енергоносіїв. При визначенні переліку ремонтних робіт в першу чергу дотримуватись плану за ходів з енергозбереження.</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9</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Не допускати використання для обслуговування установи більше чотирьох легкових автомобілів, якщо інше не передбачено законом або актом Кабінету Міністрів України.</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 xml:space="preserve">Протягом року </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Селищний голова,</w:t>
            </w:r>
          </w:p>
          <w:p w:rsidR="00A26410" w:rsidRPr="00674307" w:rsidRDefault="00A26410" w:rsidP="00E13442">
            <w:pPr>
              <w:spacing w:after="0" w:line="240" w:lineRule="auto"/>
              <w:rPr>
                <w:rFonts w:ascii="Times New Roman" w:hAnsi="Times New Roman"/>
                <w:sz w:val="28"/>
                <w:szCs w:val="28"/>
                <w:lang w:val="uk-UA"/>
              </w:rPr>
            </w:pPr>
            <w:r w:rsidRPr="00674307">
              <w:rPr>
                <w:rFonts w:ascii="Times New Roman" w:hAnsi="Times New Roman"/>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10</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Запобігати порушенням, що призводять до втрат фінансових ресурсів і майна та встановити контроль за ефективним, результативним, цільовим  і економним використанням бюджетних коштів.</w:t>
            </w:r>
          </w:p>
          <w:p w:rsidR="00A26410" w:rsidRPr="00674307" w:rsidRDefault="00A26410" w:rsidP="00E13442">
            <w:pPr>
              <w:tabs>
                <w:tab w:val="left" w:pos="6690"/>
              </w:tabs>
              <w:spacing w:after="0" w:line="240" w:lineRule="auto"/>
              <w:rPr>
                <w:rFonts w:ascii="Times New Roman" w:hAnsi="Times New Roman"/>
                <w:sz w:val="28"/>
                <w:szCs w:val="28"/>
                <w:lang w:val="uk-UA"/>
              </w:rPr>
            </w:pP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Fonts w:ascii="Times New Roman" w:hAnsi="Times New Roman"/>
                <w:sz w:val="28"/>
                <w:szCs w:val="28"/>
                <w:lang w:val="uk-UA"/>
              </w:rPr>
              <w:t>Відділ бухгалтерського обліку та звітності</w:t>
            </w:r>
          </w:p>
        </w:tc>
      </w:tr>
      <w:tr w:rsidR="00A26410" w:rsidRPr="00674307" w:rsidTr="004D788C">
        <w:tc>
          <w:tcPr>
            <w:tcW w:w="1191"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jc w:val="center"/>
              <w:rPr>
                <w:rStyle w:val="a3"/>
                <w:rFonts w:ascii="Times New Roman" w:hAnsi="Times New Roman"/>
                <w:b w:val="0"/>
                <w:bCs w:val="0"/>
                <w:sz w:val="28"/>
                <w:szCs w:val="28"/>
                <w:lang w:val="uk-UA"/>
              </w:rPr>
            </w:pPr>
            <w:r w:rsidRPr="00674307">
              <w:rPr>
                <w:rStyle w:val="a3"/>
                <w:rFonts w:ascii="Times New Roman" w:hAnsi="Times New Roman"/>
                <w:sz w:val="28"/>
                <w:szCs w:val="28"/>
                <w:lang w:val="uk-UA"/>
              </w:rPr>
              <w:t>11</w:t>
            </w:r>
          </w:p>
        </w:tc>
        <w:tc>
          <w:tcPr>
            <w:tcW w:w="4395"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Style w:val="a3"/>
                <w:rFonts w:ascii="Times New Roman" w:hAnsi="Times New Roman"/>
                <w:b w:val="0"/>
                <w:bCs w:val="0"/>
                <w:sz w:val="28"/>
                <w:szCs w:val="28"/>
                <w:lang w:val="uk-UA"/>
              </w:rPr>
            </w:pPr>
            <w:r w:rsidRPr="00674307">
              <w:rPr>
                <w:rStyle w:val="a3"/>
                <w:rFonts w:ascii="Times New Roman" w:hAnsi="Times New Roman"/>
                <w:b w:val="0"/>
                <w:bCs w:val="0"/>
                <w:sz w:val="28"/>
                <w:szCs w:val="28"/>
                <w:lang w:val="uk-UA"/>
              </w:rPr>
              <w:t xml:space="preserve">Забезпечити дотримання суворої фінансово-бюджетної дисципліни, </w:t>
            </w:r>
            <w:r w:rsidRPr="00674307">
              <w:rPr>
                <w:rStyle w:val="a3"/>
                <w:rFonts w:ascii="Times New Roman" w:hAnsi="Times New Roman"/>
                <w:b w:val="0"/>
                <w:bCs w:val="0"/>
                <w:sz w:val="28"/>
                <w:szCs w:val="28"/>
                <w:lang w:val="uk-UA"/>
              </w:rPr>
              <w:lastRenderedPageBreak/>
              <w:t>встановити дієвий внутрішній контроль за повнотою надходжень, взяття бюджетних зобов’язань, бюджетних коштів.</w:t>
            </w:r>
          </w:p>
        </w:tc>
        <w:tc>
          <w:tcPr>
            <w:tcW w:w="1449" w:type="dxa"/>
            <w:tcBorders>
              <w:top w:val="double" w:sz="1" w:space="0" w:color="C0C0C0"/>
              <w:left w:val="double" w:sz="1" w:space="0" w:color="C0C0C0"/>
              <w:bottom w:val="double" w:sz="1" w:space="0" w:color="C0C0C0"/>
            </w:tcBorders>
            <w:shd w:val="clear" w:color="auto" w:fill="auto"/>
          </w:tcPr>
          <w:p w:rsidR="00A26410" w:rsidRPr="00674307" w:rsidRDefault="00A26410" w:rsidP="00E13442">
            <w:pPr>
              <w:tabs>
                <w:tab w:val="left" w:pos="6690"/>
              </w:tabs>
              <w:spacing w:after="0" w:line="240" w:lineRule="auto"/>
              <w:rPr>
                <w:rFonts w:ascii="Times New Roman" w:hAnsi="Times New Roman"/>
                <w:sz w:val="28"/>
                <w:szCs w:val="28"/>
                <w:lang w:val="uk-UA"/>
              </w:rPr>
            </w:pPr>
            <w:r w:rsidRPr="00674307">
              <w:rPr>
                <w:rStyle w:val="a3"/>
                <w:rFonts w:ascii="Times New Roman" w:hAnsi="Times New Roman"/>
                <w:b w:val="0"/>
                <w:bCs w:val="0"/>
                <w:sz w:val="28"/>
                <w:szCs w:val="28"/>
                <w:lang w:val="uk-UA"/>
              </w:rPr>
              <w:lastRenderedPageBreak/>
              <w:t>Протягом року</w:t>
            </w:r>
          </w:p>
        </w:tc>
        <w:tc>
          <w:tcPr>
            <w:tcW w:w="2433" w:type="dxa"/>
            <w:tcBorders>
              <w:top w:val="double" w:sz="1" w:space="0" w:color="C0C0C0"/>
              <w:left w:val="double" w:sz="1" w:space="0" w:color="C0C0C0"/>
              <w:bottom w:val="double" w:sz="1" w:space="0" w:color="C0C0C0"/>
              <w:right w:val="double" w:sz="1" w:space="0" w:color="C0C0C0"/>
            </w:tcBorders>
            <w:shd w:val="clear" w:color="auto" w:fill="auto"/>
          </w:tcPr>
          <w:p w:rsidR="00A26410" w:rsidRPr="00674307" w:rsidRDefault="00A26410" w:rsidP="00E13442">
            <w:pPr>
              <w:spacing w:after="0" w:line="240" w:lineRule="auto"/>
              <w:rPr>
                <w:rFonts w:ascii="Times New Roman" w:hAnsi="Times New Roman"/>
                <w:sz w:val="28"/>
                <w:szCs w:val="28"/>
                <w:lang w:val="uk-UA"/>
              </w:rPr>
            </w:pPr>
            <w:r w:rsidRPr="00674307">
              <w:rPr>
                <w:rFonts w:ascii="Times New Roman" w:hAnsi="Times New Roman"/>
                <w:sz w:val="28"/>
                <w:szCs w:val="28"/>
                <w:lang w:val="uk-UA"/>
              </w:rPr>
              <w:t xml:space="preserve">Відділ бухгалтерського </w:t>
            </w:r>
            <w:r w:rsidRPr="00674307">
              <w:rPr>
                <w:rFonts w:ascii="Times New Roman" w:hAnsi="Times New Roman"/>
                <w:sz w:val="28"/>
                <w:szCs w:val="28"/>
                <w:lang w:val="uk-UA"/>
              </w:rPr>
              <w:lastRenderedPageBreak/>
              <w:t>обліку та звітності</w:t>
            </w:r>
          </w:p>
        </w:tc>
      </w:tr>
    </w:tbl>
    <w:p w:rsidR="00A26410" w:rsidRPr="00674307" w:rsidRDefault="00A26410" w:rsidP="00E13442">
      <w:pPr>
        <w:tabs>
          <w:tab w:val="left" w:pos="3465"/>
        </w:tabs>
        <w:spacing w:after="0" w:line="240" w:lineRule="auto"/>
        <w:ind w:firstLine="708"/>
        <w:rPr>
          <w:rFonts w:ascii="Times New Roman" w:hAnsi="Times New Roman"/>
          <w:sz w:val="28"/>
          <w:szCs w:val="28"/>
          <w:lang w:val="uk-UA"/>
        </w:rPr>
      </w:pPr>
    </w:p>
    <w:p w:rsidR="004D788C" w:rsidRPr="00674307" w:rsidRDefault="004D788C" w:rsidP="00E13442">
      <w:pPr>
        <w:tabs>
          <w:tab w:val="left" w:pos="3465"/>
        </w:tabs>
        <w:spacing w:after="0" w:line="240" w:lineRule="auto"/>
        <w:ind w:firstLine="708"/>
        <w:rPr>
          <w:rFonts w:ascii="Times New Roman" w:hAnsi="Times New Roman"/>
          <w:sz w:val="28"/>
          <w:szCs w:val="28"/>
          <w:lang w:val="uk-UA"/>
        </w:rPr>
      </w:pPr>
    </w:p>
    <w:p w:rsidR="004D788C" w:rsidRPr="00674307" w:rsidRDefault="004D788C" w:rsidP="00E13442">
      <w:pPr>
        <w:spacing w:after="0" w:line="240" w:lineRule="auto"/>
        <w:jc w:val="center"/>
        <w:rPr>
          <w:rFonts w:ascii="Times New Roman" w:hAnsi="Times New Roman"/>
          <w:sz w:val="28"/>
          <w:szCs w:val="28"/>
          <w:lang w:val="uk-UA"/>
        </w:rPr>
      </w:pPr>
    </w:p>
    <w:p w:rsidR="00A26410" w:rsidRPr="00674307" w:rsidRDefault="00A26410" w:rsidP="00E13442">
      <w:pPr>
        <w:spacing w:after="0" w:line="240" w:lineRule="auto"/>
        <w:jc w:val="center"/>
        <w:rPr>
          <w:rFonts w:ascii="Times New Roman" w:hAnsi="Times New Roman"/>
          <w:sz w:val="28"/>
          <w:szCs w:val="28"/>
          <w:lang w:val="uk-UA"/>
        </w:rPr>
      </w:pPr>
      <w:r w:rsidRPr="00674307">
        <w:rPr>
          <w:rFonts w:ascii="Times New Roman" w:hAnsi="Times New Roman"/>
          <w:sz w:val="28"/>
          <w:szCs w:val="28"/>
          <w:lang w:val="uk-UA"/>
        </w:rPr>
        <w:t xml:space="preserve">СЕЛИЩНИЙ ГОЛОВА                        </w:t>
      </w:r>
      <w:r w:rsidR="004D788C" w:rsidRPr="00674307">
        <w:rPr>
          <w:rFonts w:ascii="Times New Roman" w:hAnsi="Times New Roman"/>
          <w:sz w:val="28"/>
          <w:szCs w:val="28"/>
          <w:lang w:val="uk-UA"/>
        </w:rPr>
        <w:t xml:space="preserve">              </w:t>
      </w:r>
      <w:r w:rsidRPr="00674307">
        <w:rPr>
          <w:rFonts w:ascii="Times New Roman" w:hAnsi="Times New Roman"/>
          <w:sz w:val="28"/>
          <w:szCs w:val="28"/>
          <w:lang w:val="uk-UA"/>
        </w:rPr>
        <w:t xml:space="preserve">                    Л.П.МИЛАШЕВИЧ</w:t>
      </w:r>
    </w:p>
    <w:p w:rsidR="00A26410" w:rsidRPr="00674307" w:rsidRDefault="00A26410" w:rsidP="00E13442">
      <w:pPr>
        <w:spacing w:after="0" w:line="240" w:lineRule="auto"/>
        <w:rPr>
          <w:rFonts w:ascii="Times New Roman" w:hAnsi="Times New Roman"/>
          <w:sz w:val="28"/>
          <w:szCs w:val="28"/>
          <w:lang w:val="uk-UA"/>
        </w:rPr>
      </w:pPr>
    </w:p>
    <w:sectPr w:rsidR="00A26410" w:rsidRPr="00674307" w:rsidSect="004565FB">
      <w:pgSz w:w="11906" w:h="16838"/>
      <w:pgMar w:top="1134" w:right="850" w:bottom="1134" w:left="1701"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68" w:hanging="360"/>
      </w:pPr>
      <w:rPr>
        <w:rFonts w:hint="default"/>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3442"/>
    <w:rsid w:val="001B0866"/>
    <w:rsid w:val="002D0107"/>
    <w:rsid w:val="004565FB"/>
    <w:rsid w:val="0047493F"/>
    <w:rsid w:val="004D788C"/>
    <w:rsid w:val="005831D1"/>
    <w:rsid w:val="00674307"/>
    <w:rsid w:val="0077782C"/>
    <w:rsid w:val="008172C2"/>
    <w:rsid w:val="00A26410"/>
    <w:rsid w:val="00AC78EC"/>
    <w:rsid w:val="00B040E0"/>
    <w:rsid w:val="00BB1279"/>
    <w:rsid w:val="00C2609E"/>
    <w:rsid w:val="00CC1B81"/>
    <w:rsid w:val="00D654BF"/>
    <w:rsid w:val="00E1344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5FB"/>
    <w:pPr>
      <w:suppressAutoHyphens/>
      <w:spacing w:after="200" w:line="276" w:lineRule="auto"/>
    </w:pPr>
    <w:rPr>
      <w:rFonts w:ascii="Calibri" w:eastAsia="Calibri" w:hAnsi="Calibri"/>
      <w:sz w:val="22"/>
      <w:szCs w:val="22"/>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565FB"/>
    <w:rPr>
      <w:rFonts w:hint="default"/>
    </w:rPr>
  </w:style>
  <w:style w:type="character" w:customStyle="1" w:styleId="WW8Num2z0">
    <w:name w:val="WW8Num2z0"/>
    <w:rsid w:val="004565FB"/>
  </w:style>
  <w:style w:type="character" w:customStyle="1" w:styleId="WW8Num2z1">
    <w:name w:val="WW8Num2z1"/>
    <w:rsid w:val="004565FB"/>
  </w:style>
  <w:style w:type="character" w:customStyle="1" w:styleId="WW8Num2z2">
    <w:name w:val="WW8Num2z2"/>
    <w:rsid w:val="004565FB"/>
  </w:style>
  <w:style w:type="character" w:customStyle="1" w:styleId="WW8Num2z3">
    <w:name w:val="WW8Num2z3"/>
    <w:rsid w:val="004565FB"/>
  </w:style>
  <w:style w:type="character" w:customStyle="1" w:styleId="WW8Num2z4">
    <w:name w:val="WW8Num2z4"/>
    <w:rsid w:val="004565FB"/>
  </w:style>
  <w:style w:type="character" w:customStyle="1" w:styleId="WW8Num2z5">
    <w:name w:val="WW8Num2z5"/>
    <w:rsid w:val="004565FB"/>
  </w:style>
  <w:style w:type="character" w:customStyle="1" w:styleId="WW8Num2z6">
    <w:name w:val="WW8Num2z6"/>
    <w:rsid w:val="004565FB"/>
  </w:style>
  <w:style w:type="character" w:customStyle="1" w:styleId="WW8Num2z7">
    <w:name w:val="WW8Num2z7"/>
    <w:rsid w:val="004565FB"/>
  </w:style>
  <w:style w:type="character" w:customStyle="1" w:styleId="WW8Num2z8">
    <w:name w:val="WW8Num2z8"/>
    <w:rsid w:val="004565FB"/>
  </w:style>
  <w:style w:type="character" w:customStyle="1" w:styleId="WW8Num1z1">
    <w:name w:val="WW8Num1z1"/>
    <w:rsid w:val="004565FB"/>
  </w:style>
  <w:style w:type="character" w:customStyle="1" w:styleId="WW8Num1z2">
    <w:name w:val="WW8Num1z2"/>
    <w:rsid w:val="004565FB"/>
  </w:style>
  <w:style w:type="character" w:customStyle="1" w:styleId="WW8Num1z3">
    <w:name w:val="WW8Num1z3"/>
    <w:rsid w:val="004565FB"/>
  </w:style>
  <w:style w:type="character" w:customStyle="1" w:styleId="WW8Num1z4">
    <w:name w:val="WW8Num1z4"/>
    <w:rsid w:val="004565FB"/>
  </w:style>
  <w:style w:type="character" w:customStyle="1" w:styleId="WW8Num1z5">
    <w:name w:val="WW8Num1z5"/>
    <w:rsid w:val="004565FB"/>
  </w:style>
  <w:style w:type="character" w:customStyle="1" w:styleId="WW8Num1z6">
    <w:name w:val="WW8Num1z6"/>
    <w:rsid w:val="004565FB"/>
  </w:style>
  <w:style w:type="character" w:customStyle="1" w:styleId="WW8Num1z7">
    <w:name w:val="WW8Num1z7"/>
    <w:rsid w:val="004565FB"/>
  </w:style>
  <w:style w:type="character" w:customStyle="1" w:styleId="WW8Num1z8">
    <w:name w:val="WW8Num1z8"/>
    <w:rsid w:val="004565FB"/>
  </w:style>
  <w:style w:type="character" w:customStyle="1" w:styleId="1">
    <w:name w:val="Основной шрифт абзаца1"/>
    <w:rsid w:val="004565FB"/>
  </w:style>
  <w:style w:type="character" w:styleId="a3">
    <w:name w:val="Strong"/>
    <w:qFormat/>
    <w:rsid w:val="004565FB"/>
    <w:rPr>
      <w:b/>
      <w:bCs/>
    </w:rPr>
  </w:style>
  <w:style w:type="paragraph" w:customStyle="1" w:styleId="10">
    <w:name w:val="Заголовок1"/>
    <w:basedOn w:val="a"/>
    <w:next w:val="a4"/>
    <w:rsid w:val="004565FB"/>
    <w:pPr>
      <w:keepNext/>
      <w:spacing w:before="240" w:after="120"/>
    </w:pPr>
    <w:rPr>
      <w:rFonts w:ascii="Arial" w:eastAsia="Microsoft YaHei" w:hAnsi="Arial" w:cs="Mangal"/>
      <w:sz w:val="28"/>
      <w:szCs w:val="28"/>
    </w:rPr>
  </w:style>
  <w:style w:type="paragraph" w:styleId="a4">
    <w:name w:val="Body Text"/>
    <w:basedOn w:val="a"/>
    <w:rsid w:val="004565FB"/>
    <w:pPr>
      <w:spacing w:after="120"/>
    </w:pPr>
  </w:style>
  <w:style w:type="paragraph" w:styleId="a5">
    <w:name w:val="List"/>
    <w:basedOn w:val="a4"/>
    <w:rsid w:val="004565FB"/>
    <w:rPr>
      <w:rFonts w:cs="Mangal"/>
    </w:rPr>
  </w:style>
  <w:style w:type="paragraph" w:customStyle="1" w:styleId="11">
    <w:name w:val="Название1"/>
    <w:basedOn w:val="a"/>
    <w:rsid w:val="004565FB"/>
    <w:pPr>
      <w:suppressLineNumbers/>
      <w:spacing w:before="120" w:after="120"/>
    </w:pPr>
    <w:rPr>
      <w:rFonts w:cs="Mangal"/>
      <w:i/>
      <w:iCs/>
      <w:sz w:val="24"/>
      <w:szCs w:val="24"/>
    </w:rPr>
  </w:style>
  <w:style w:type="paragraph" w:customStyle="1" w:styleId="12">
    <w:name w:val="Указатель1"/>
    <w:basedOn w:val="a"/>
    <w:rsid w:val="004565FB"/>
    <w:pPr>
      <w:suppressLineNumbers/>
    </w:pPr>
    <w:rPr>
      <w:rFonts w:cs="Mangal"/>
    </w:rPr>
  </w:style>
  <w:style w:type="paragraph" w:styleId="a6">
    <w:name w:val="List Paragraph"/>
    <w:basedOn w:val="a"/>
    <w:qFormat/>
    <w:rsid w:val="004565FB"/>
    <w:pPr>
      <w:ind w:left="720"/>
    </w:pPr>
  </w:style>
  <w:style w:type="paragraph" w:styleId="a7">
    <w:name w:val="Normal (Web)"/>
    <w:basedOn w:val="a"/>
    <w:rsid w:val="004565FB"/>
    <w:pPr>
      <w:spacing w:before="280" w:after="280" w:line="240" w:lineRule="auto"/>
    </w:pPr>
    <w:rPr>
      <w:rFonts w:ascii="Times New Roman" w:eastAsia="Times New Roman" w:hAnsi="Times New Roman"/>
      <w:sz w:val="24"/>
      <w:szCs w:val="24"/>
    </w:rPr>
  </w:style>
  <w:style w:type="paragraph" w:customStyle="1" w:styleId="a8">
    <w:name w:val="Содержимое таблицы"/>
    <w:basedOn w:val="a"/>
    <w:rsid w:val="004565FB"/>
    <w:pPr>
      <w:suppressLineNumbers/>
    </w:pPr>
  </w:style>
  <w:style w:type="paragraph" w:customStyle="1" w:styleId="a9">
    <w:name w:val="Заголовок таблицы"/>
    <w:basedOn w:val="a8"/>
    <w:rsid w:val="004565FB"/>
    <w:pPr>
      <w:jc w:val="center"/>
    </w:pPr>
    <w:rPr>
      <w:b/>
      <w:bCs/>
    </w:rPr>
  </w:style>
  <w:style w:type="paragraph" w:customStyle="1" w:styleId="2">
    <w:name w:val="Заголовок2"/>
    <w:basedOn w:val="a"/>
    <w:link w:val="aa"/>
    <w:qFormat/>
    <w:rsid w:val="00E13442"/>
    <w:pPr>
      <w:suppressAutoHyphens w:val="0"/>
      <w:spacing w:after="0" w:line="240" w:lineRule="auto"/>
      <w:jc w:val="center"/>
    </w:pPr>
    <w:rPr>
      <w:rFonts w:ascii="Times New Roman" w:eastAsia="Times New Roman" w:hAnsi="Times New Roman"/>
      <w:sz w:val="28"/>
      <w:szCs w:val="24"/>
      <w:lang w:val="uk-UA"/>
    </w:rPr>
  </w:style>
  <w:style w:type="character" w:customStyle="1" w:styleId="aa">
    <w:name w:val="Заголовок Знак"/>
    <w:link w:val="2"/>
    <w:rsid w:val="00E13442"/>
    <w:rPr>
      <w:sz w:val="28"/>
      <w:szCs w:val="24"/>
      <w:lang w:val="uk-UA"/>
    </w:rPr>
  </w:style>
</w:styles>
</file>

<file path=word/webSettings.xml><?xml version="1.0" encoding="utf-8"?>
<w:webSettings xmlns:r="http://schemas.openxmlformats.org/officeDocument/2006/relationships" xmlns:w="http://schemas.openxmlformats.org/wordprocessingml/2006/main">
  <w:divs>
    <w:div w:id="20582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2194</Words>
  <Characters>1252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Dimon</cp:lastModifiedBy>
  <cp:revision>9</cp:revision>
  <cp:lastPrinted>1899-12-31T22:00:00Z</cp:lastPrinted>
  <dcterms:created xsi:type="dcterms:W3CDTF">2018-01-24T10:27:00Z</dcterms:created>
  <dcterms:modified xsi:type="dcterms:W3CDTF">2018-02-05T12:14:00Z</dcterms:modified>
</cp:coreProperties>
</file>