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65" w:rsidRPr="0088023A" w:rsidRDefault="009D7965" w:rsidP="00CB0986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Аналіз   регуляторного  впливу</w:t>
      </w:r>
    </w:p>
    <w:p w:rsidR="009D7965" w:rsidRPr="0088023A" w:rsidRDefault="009D7965" w:rsidP="00CB0986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 до </w:t>
      </w:r>
      <w:proofErr w:type="spellStart"/>
      <w:r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</w:t>
      </w:r>
      <w:r w:rsidR="002945F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є</w:t>
      </w:r>
      <w:r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кту</w:t>
      </w:r>
      <w:proofErr w:type="spellEnd"/>
      <w:r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рішення </w:t>
      </w:r>
      <w:proofErr w:type="spellStart"/>
      <w:r w:rsidR="00D56551"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Семенівської</w:t>
      </w:r>
      <w:proofErr w:type="spellEnd"/>
      <w:r w:rsidR="00D56551"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селищної </w:t>
      </w:r>
      <w:r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ради</w:t>
      </w:r>
    </w:p>
    <w:p w:rsidR="009D7965" w:rsidRPr="0088023A" w:rsidRDefault="009D7965" w:rsidP="00CB0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«</w:t>
      </w:r>
      <w:r w:rsidR="00E372D2" w:rsidRPr="0088023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затвердження ставок єдиного податку на території </w:t>
      </w:r>
      <w:proofErr w:type="spellStart"/>
      <w:r w:rsidR="00E372D2" w:rsidRPr="0088023A"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Семенівської</w:t>
      </w:r>
      <w:proofErr w:type="spellEnd"/>
      <w:r w:rsidR="00E372D2" w:rsidRPr="0088023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селищної  ради </w:t>
      </w:r>
      <w:proofErr w:type="spellStart"/>
      <w:r w:rsidR="00E372D2" w:rsidRPr="0088023A"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Семенівського</w:t>
      </w:r>
      <w:proofErr w:type="spellEnd"/>
      <w:r w:rsidR="00E372D2" w:rsidRPr="0088023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рай</w:t>
      </w:r>
      <w:r w:rsidR="00B914E9">
        <w:rPr>
          <w:rFonts w:ascii="Times New Roman" w:hAnsi="Times New Roman" w:cs="Times New Roman"/>
          <w:b/>
          <w:bCs/>
          <w:sz w:val="26"/>
          <w:szCs w:val="26"/>
          <w:lang w:val="uk-UA"/>
        </w:rPr>
        <w:t>ону Полтавської  області на 202</w:t>
      </w:r>
      <w:r w:rsidR="005B0A54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E372D2" w:rsidRPr="0088023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рік</w:t>
      </w:r>
      <w:r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».</w:t>
      </w:r>
    </w:p>
    <w:p w:rsidR="009D7965" w:rsidRPr="0088023A" w:rsidRDefault="009D7965" w:rsidP="00CB09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88023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 </w:t>
      </w:r>
    </w:p>
    <w:p w:rsidR="00095C0F" w:rsidRPr="0088023A" w:rsidRDefault="00095C0F" w:rsidP="00CB09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23A">
        <w:rPr>
          <w:rFonts w:ascii="Times New Roman" w:hAnsi="Times New Roman" w:cs="Times New Roman"/>
          <w:b/>
          <w:bCs/>
          <w:sz w:val="26"/>
          <w:szCs w:val="26"/>
          <w:lang w:val="uk-UA"/>
        </w:rPr>
        <w:t>Розробники:</w:t>
      </w:r>
      <w:r w:rsidRPr="008802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14E9">
        <w:rPr>
          <w:rFonts w:ascii="Times New Roman" w:hAnsi="Times New Roman" w:cs="Times New Roman"/>
          <w:sz w:val="26"/>
          <w:szCs w:val="26"/>
          <w:lang w:val="uk-UA"/>
        </w:rPr>
        <w:t>Відділ економічного розвитку та інвестицій</w:t>
      </w:r>
      <w:r w:rsidRPr="008802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1FED" w:rsidRPr="0088023A">
        <w:rPr>
          <w:rFonts w:ascii="Times New Roman" w:hAnsi="Times New Roman" w:cs="Times New Roman"/>
          <w:sz w:val="26"/>
          <w:szCs w:val="26"/>
          <w:lang w:val="uk-UA"/>
        </w:rPr>
        <w:t>Виконавч</w:t>
      </w:r>
      <w:r w:rsidR="00B914E9">
        <w:rPr>
          <w:rFonts w:ascii="Times New Roman" w:hAnsi="Times New Roman" w:cs="Times New Roman"/>
          <w:sz w:val="26"/>
          <w:szCs w:val="26"/>
          <w:lang w:val="uk-UA"/>
        </w:rPr>
        <w:t>ого</w:t>
      </w:r>
      <w:r w:rsidRPr="0088023A">
        <w:rPr>
          <w:rFonts w:ascii="Times New Roman" w:hAnsi="Times New Roman" w:cs="Times New Roman"/>
          <w:sz w:val="26"/>
          <w:szCs w:val="26"/>
          <w:lang w:val="uk-UA"/>
        </w:rPr>
        <w:t xml:space="preserve"> комітет</w:t>
      </w:r>
      <w:r w:rsidR="00B914E9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88023A">
        <w:rPr>
          <w:rFonts w:ascii="Times New Roman" w:hAnsi="Times New Roman" w:cs="Times New Roman"/>
          <w:sz w:val="26"/>
          <w:szCs w:val="26"/>
          <w:lang w:val="uk-UA"/>
        </w:rPr>
        <w:t xml:space="preserve"> Семенівської селищної ради.</w:t>
      </w:r>
    </w:p>
    <w:p w:rsidR="00095C0F" w:rsidRPr="0088023A" w:rsidRDefault="00095C0F" w:rsidP="00CB09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88023A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88023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Контактний телефон: </w:t>
      </w:r>
      <w:r w:rsidRPr="0088023A">
        <w:rPr>
          <w:rFonts w:ascii="Times New Roman" w:hAnsi="Times New Roman" w:cs="Times New Roman"/>
          <w:sz w:val="26"/>
          <w:szCs w:val="26"/>
          <w:lang w:val="uk-UA"/>
        </w:rPr>
        <w:t>(05341) 91-2-80</w:t>
      </w:r>
    </w:p>
    <w:p w:rsidR="00095C0F" w:rsidRPr="00DC4781" w:rsidRDefault="00095C0F" w:rsidP="00CB0986">
      <w:pPr>
        <w:spacing w:after="0" w:line="240" w:lineRule="auto"/>
        <w:rPr>
          <w:rFonts w:ascii="Arial" w:eastAsia="Times New Roman" w:hAnsi="Arial" w:cs="Arial"/>
          <w:sz w:val="21"/>
          <w:szCs w:val="21"/>
          <w:lang w:val="uk-UA" w:eastAsia="ru-RU"/>
        </w:rPr>
      </w:pPr>
    </w:p>
    <w:p w:rsidR="009D7965" w:rsidRPr="00DC4781" w:rsidRDefault="009D7965" w:rsidP="00CB0986">
      <w:pPr>
        <w:spacing w:after="0" w:line="240" w:lineRule="auto"/>
        <w:ind w:hanging="360"/>
        <w:jc w:val="center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1.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</w:t>
      </w: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Визначення  проблеми</w:t>
      </w:r>
    </w:p>
    <w:p w:rsidR="003D0921" w:rsidRPr="003D0921" w:rsidRDefault="009D7965" w:rsidP="00CB0986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 </w:t>
      </w:r>
      <w:r w:rsidR="00CB0986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="003D0921"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Однією з проблем </w:t>
      </w:r>
      <w:r w:rsidR="003D0921">
        <w:rPr>
          <w:rFonts w:ascii="Times New Roman" w:hAnsi="Times New Roman"/>
          <w:color w:val="000000"/>
          <w:sz w:val="26"/>
          <w:szCs w:val="26"/>
          <w:lang w:val="uk-UA"/>
        </w:rPr>
        <w:t>Семенівської селищної</w:t>
      </w:r>
      <w:r w:rsidR="003D0921"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  ради  є недостатня наповнюваність місцевого бюджету, що не дозволяє виконувати місцеві бюджетні програми, забезпечити належний рівень життя жителів населених пунктів </w:t>
      </w:r>
      <w:r w:rsidR="003D0921">
        <w:rPr>
          <w:rFonts w:ascii="Times New Roman" w:hAnsi="Times New Roman"/>
          <w:color w:val="000000"/>
          <w:sz w:val="26"/>
          <w:szCs w:val="26"/>
          <w:lang w:val="uk-UA"/>
        </w:rPr>
        <w:t>Семенівської об’єднаної територіальної громади</w:t>
      </w:r>
      <w:r w:rsidR="003D0921" w:rsidRPr="003D0921">
        <w:rPr>
          <w:rFonts w:ascii="Times New Roman" w:hAnsi="Times New Roman"/>
          <w:color w:val="000000"/>
          <w:sz w:val="26"/>
          <w:szCs w:val="26"/>
          <w:lang w:val="uk-UA"/>
        </w:rPr>
        <w:t>.</w:t>
      </w:r>
    </w:p>
    <w:p w:rsidR="003D0921" w:rsidRPr="003D0921" w:rsidRDefault="003D0921" w:rsidP="00CB098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>Джерелами надходження коштів до місцевого бюджету, серед іншого, є податки та збори, які сплачуються суб’єктами господарської діяльності, зареєстрованими на території</w:t>
      </w:r>
      <w:r w:rsidRPr="003D0921">
        <w:rPr>
          <w:rFonts w:ascii="Times New Roman" w:hAnsi="Times New Roman"/>
          <w:color w:val="000000"/>
          <w:sz w:val="26"/>
          <w:szCs w:val="26"/>
        </w:rPr>
        <w:t> 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Семенівської селищної</w:t>
      </w:r>
      <w:r w:rsidR="00F90A1B">
        <w:rPr>
          <w:rFonts w:ascii="Times New Roman" w:hAnsi="Times New Roman"/>
          <w:color w:val="000000"/>
          <w:sz w:val="26"/>
          <w:szCs w:val="26"/>
          <w:lang w:val="uk-UA"/>
        </w:rPr>
        <w:t xml:space="preserve">  ради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>, відповідно до Податкового кодексу України (ПКУ), та розміри ставок яких встановлюються місцевими радами.</w:t>
      </w:r>
    </w:p>
    <w:p w:rsidR="009D7965" w:rsidRPr="00FB5349" w:rsidRDefault="009D7965" w:rsidP="00CB098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Аналіз  регуляторного впливу </w:t>
      </w:r>
      <w:proofErr w:type="spellStart"/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137B1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  рішення </w:t>
      </w:r>
      <w:proofErr w:type="spellStart"/>
      <w:r w:rsidR="00D56551" w:rsidRPr="00FB534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Семенівської</w:t>
      </w:r>
      <w:proofErr w:type="spellEnd"/>
      <w:r w:rsidR="00D56551" w:rsidRPr="00FB534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селищної 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  «</w:t>
      </w:r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затвердження ставок єдиного податку на території </w:t>
      </w:r>
      <w:proofErr w:type="spellStart"/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Семенівської</w:t>
      </w:r>
      <w:proofErr w:type="spellEnd"/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селищної  ради </w:t>
      </w:r>
      <w:proofErr w:type="spellStart"/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Полтавської  області на 20</w:t>
      </w:r>
      <w:r w:rsidR="00B914E9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5B0A54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підготовлений відповідно до ст.8 Закону Украї</w:t>
      </w:r>
      <w:r w:rsidR="00DC478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ни «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 засади державної  регуляторної політики у сфері господарської  діяльності» від 11.09.2003 року № 1160-І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та  Методики  проведення аналізу регуляторного впливу, затвердженої  Постановою Кабінету Міністрів України від 11.03.2004 №  308 ( зі  змінами та  доповненнями ).</w:t>
      </w:r>
    </w:p>
    <w:p w:rsidR="009D7965" w:rsidRPr="00FB5349" w:rsidRDefault="009D7965" w:rsidP="00CB098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Аналіз визначає  правові та  організаційні  засади</w:t>
      </w:r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реалізації </w:t>
      </w:r>
      <w:proofErr w:type="spellStart"/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137B1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рішення  </w:t>
      </w:r>
      <w:r w:rsidR="00FB5349"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затвердження ставок єдиного податку на території </w:t>
      </w:r>
      <w:proofErr w:type="spellStart"/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Семенівської</w:t>
      </w:r>
      <w:proofErr w:type="spellEnd"/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селищної  ради </w:t>
      </w:r>
      <w:proofErr w:type="spellStart"/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Полтавської  області на 20</w:t>
      </w:r>
      <w:r w:rsidR="00B914E9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5B0A54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».</w:t>
      </w:r>
    </w:p>
    <w:p w:rsidR="009D7965" w:rsidRPr="00FB5349" w:rsidRDefault="009D7965" w:rsidP="00CB098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п.24.26, статті 26, статті 69 Закону України « Про міс</w:t>
      </w:r>
      <w:r w:rsidR="00F90A1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цеве самоврядування в Україні» ст..ст. 7, 8, 10, 12, </w:t>
      </w:r>
      <w:r w:rsidR="00E372D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291-300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Податкового кодексу України повноваження щодо встановлення  місцевих податків і зборів  покладені на органи місцевого самоврядування.</w:t>
      </w:r>
    </w:p>
    <w:p w:rsidR="009D7965" w:rsidRPr="005D3500" w:rsidRDefault="009D7965" w:rsidP="00CB098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Основні групи, на які проблема справляє вплив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96"/>
        <w:gridCol w:w="1276"/>
        <w:gridCol w:w="1099"/>
      </w:tblGrid>
      <w:tr w:rsidR="009D7965" w:rsidRPr="005D3500" w:rsidTr="00C57A31">
        <w:tc>
          <w:tcPr>
            <w:tcW w:w="7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Групи ( підгрупи)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Так</w:t>
            </w:r>
          </w:p>
        </w:tc>
        <w:tc>
          <w:tcPr>
            <w:tcW w:w="10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Ні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Громадяни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Держава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Суб</w:t>
            </w:r>
            <w:proofErr w:type="spellEnd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’</w:t>
            </w:r>
            <w:proofErr w:type="spellStart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єкти</w:t>
            </w:r>
            <w:proofErr w:type="spellEnd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тому  числі суб’єкти малого підприємництва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B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</w:tbl>
    <w:p w:rsidR="009D7965" w:rsidRPr="00C57A31" w:rsidRDefault="009D7965" w:rsidP="00CB09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Питання, яке  пропонується  вирішити  шляхом прийняття відповідного  регуляторного акта, дуж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важлив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для всіх членів територіальної громади. Прийняття рішення  необхідно для прозорого та  ефективного встановлення місцевих податків та зборів, збільшення надходжень до бюджету</w:t>
      </w:r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Семенівської об’єднаної територіальної громади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здійснення необхідного контролю за своєчасністю  та  повнотою  проведення  платежів.</w:t>
      </w:r>
      <w:r w:rsidR="00C57A3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57A31" w:rsidRPr="00C57A31">
        <w:rPr>
          <w:rFonts w:ascii="Times New Roman" w:hAnsi="Times New Roman" w:cs="Times New Roman"/>
          <w:sz w:val="26"/>
          <w:szCs w:val="26"/>
          <w:lang w:val="uk-UA"/>
        </w:rPr>
        <w:t>Встановлення ставок єдиного податку, які відповідають вимогам сьогодення, матиме суттєве значення не тільки для місцевого бюджету, але й для громадян, що мешкають на території селищної ради, тому що від цього залежить фінансування місцевих бюджетних програм.</w:t>
      </w:r>
    </w:p>
    <w:p w:rsidR="00CB0986" w:rsidRPr="00C57A31" w:rsidRDefault="009D7965" w:rsidP="00CB09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57A3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D7965" w:rsidRPr="005D3500" w:rsidRDefault="009D7965" w:rsidP="00CB0986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2.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  </w:t>
      </w:r>
      <w:r w:rsidRPr="005D3500">
        <w:rPr>
          <w:rFonts w:ascii="Times New Roman" w:eastAsia="Times New Roman" w:hAnsi="Times New Roman" w:cs="Times New Roman"/>
          <w:sz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Цілі державного регулювання</w:t>
      </w:r>
    </w:p>
    <w:p w:rsidR="009D7965" w:rsidRPr="005558C7" w:rsidRDefault="009D7965" w:rsidP="00CB098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proofErr w:type="spellStart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137B1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</w:t>
      </w:r>
      <w:proofErr w:type="spellEnd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рішення </w:t>
      </w:r>
      <w:proofErr w:type="spellStart"/>
      <w:r w:rsidR="00D565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Семенівської</w:t>
      </w:r>
      <w:proofErr w:type="spellEnd"/>
      <w:r w:rsidR="00D565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селищної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ради  </w:t>
      </w:r>
      <w:r w:rsidR="00F90A1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затвердження ставок єдиного податку на території </w:t>
      </w:r>
      <w:proofErr w:type="spellStart"/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Семенівської</w:t>
      </w:r>
      <w:proofErr w:type="spellEnd"/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селищної  ради </w:t>
      </w:r>
      <w:proofErr w:type="spellStart"/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</w:t>
      </w:r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lastRenderedPageBreak/>
        <w:t>Полтавської  області на 20</w:t>
      </w:r>
      <w:r w:rsidR="00B914E9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5B0A54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E372D2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розроблено на виконання вимог Податкового </w:t>
      </w:r>
      <w:r w:rsidRPr="005558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кодексу України.</w:t>
      </w:r>
    </w:p>
    <w:p w:rsidR="009D7965" w:rsidRPr="005558C7" w:rsidRDefault="009D7965" w:rsidP="00CB09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558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Основними цілями прийняття  пропонованого регуляторного акта  є :</w:t>
      </w:r>
    </w:p>
    <w:p w:rsidR="005558C7" w:rsidRPr="005558C7" w:rsidRDefault="005558C7" w:rsidP="00CB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5558C7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- Виконання вимог чинного законодавства.</w:t>
      </w:r>
    </w:p>
    <w:p w:rsidR="005558C7" w:rsidRPr="005558C7" w:rsidRDefault="005558C7" w:rsidP="00CB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5558C7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- Врегулювання правовідносин між </w:t>
      </w:r>
      <w:proofErr w:type="spellStart"/>
      <w:r w:rsidRPr="005558C7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Семенівською</w:t>
      </w:r>
      <w:proofErr w:type="spellEnd"/>
      <w:r w:rsidRPr="005558C7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селищною радою та суб’єктами господарювання в процесі нарахування та сплати єдиного податку.</w:t>
      </w:r>
    </w:p>
    <w:p w:rsidR="005558C7" w:rsidRPr="005558C7" w:rsidRDefault="005558C7" w:rsidP="00CB09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-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Встановлення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ставок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єдиного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податку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які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 дозволили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забезпечити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сталі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надходження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</w:t>
      </w:r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селищного</w:t>
      </w:r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бюджету для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виконання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програм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соціально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економічного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розвитку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</w:rPr>
        <w:t>громади</w:t>
      </w:r>
      <w:proofErr w:type="spellEnd"/>
      <w:r w:rsidRPr="005558C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9D7965" w:rsidRPr="005558C7" w:rsidRDefault="005558C7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558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="009D7965" w:rsidRPr="005558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 Задоволення інтересів місцевої громади з  питань :</w:t>
      </w:r>
    </w:p>
    <w:p w:rsidR="009D7965" w:rsidRPr="005558C7" w:rsidRDefault="009D7965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558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наповнення  селищного  бюджету, шляхом отримання  додаткового обсягу надходжень;</w:t>
      </w:r>
    </w:p>
    <w:p w:rsidR="009D7965" w:rsidRPr="005558C7" w:rsidRDefault="009D7965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558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здійснення  планування та прогнозування  надходжень від місцевих податків та зборів при формуванні  бюджету;</w:t>
      </w:r>
    </w:p>
    <w:p w:rsidR="009D7965" w:rsidRPr="005D3500" w:rsidRDefault="009D7965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забезпечення  найбільш повного обліку </w:t>
      </w:r>
      <w:r w:rsidR="00E372D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суб’єктів господарювання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9D7965" w:rsidRPr="005D3500" w:rsidRDefault="009D7965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забезпечення  раціонального та ефективного </w:t>
      </w:r>
      <w:r w:rsidR="00DC478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провадження господарської діяльності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9D7965" w:rsidRPr="005D3500" w:rsidRDefault="002036EA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</w:t>
      </w:r>
      <w:r w:rsidR="009D7965"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адоволення  інтересів суб’єктів господарської діяльності:</w:t>
      </w:r>
    </w:p>
    <w:p w:rsidR="009D7965" w:rsidRPr="005D3500" w:rsidRDefault="009D7965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вдосконалення відносин, що виникають у сфері справляння  місцевих податків і зборів;</w:t>
      </w:r>
    </w:p>
    <w:p w:rsidR="009D7965" w:rsidRPr="005D3500" w:rsidRDefault="009D7965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встановлення доцільних та обґрунтованих розмірів ставок місцевих податків і зборів в межах визначених Податковим кодексом України.</w:t>
      </w:r>
    </w:p>
    <w:p w:rsidR="009D7965" w:rsidRPr="005D3500" w:rsidRDefault="009D7965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D7965" w:rsidRPr="00B107D7" w:rsidRDefault="009D7965" w:rsidP="00CB098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3. </w:t>
      </w:r>
      <w:r w:rsidRPr="00B107D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Визначення  та оцінка альтернативних способів досягнення цілей.</w:t>
      </w:r>
    </w:p>
    <w:p w:rsidR="005558C7" w:rsidRPr="00B107D7" w:rsidRDefault="005558C7" w:rsidP="00CB09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0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3.1. Визначення альтернативних засобів. </w:t>
      </w:r>
    </w:p>
    <w:p w:rsidR="005558C7" w:rsidRPr="00B107D7" w:rsidRDefault="005558C7" w:rsidP="00CB09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70"/>
        <w:gridCol w:w="6237"/>
      </w:tblGrid>
      <w:tr w:rsidR="00DF1A82" w:rsidRPr="00B107D7" w:rsidTr="00DF1A82">
        <w:tc>
          <w:tcPr>
            <w:tcW w:w="3370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Вид альтернативи</w:t>
            </w:r>
          </w:p>
        </w:tc>
        <w:tc>
          <w:tcPr>
            <w:tcW w:w="623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Опис альтернативи</w:t>
            </w:r>
          </w:p>
        </w:tc>
      </w:tr>
      <w:tr w:rsidR="00DF1A82" w:rsidRPr="009124F7" w:rsidTr="00DF1A82">
        <w:trPr>
          <w:trHeight w:val="2812"/>
        </w:trPr>
        <w:tc>
          <w:tcPr>
            <w:tcW w:w="3370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623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По закінченню 20</w:t>
            </w:r>
            <w:r w:rsidR="005B0A5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20</w:t>
            </w: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року діюче на території Семенівської селищної  ради рішення про встановленн</w:t>
            </w:r>
            <w:r w:rsidR="00C6440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я єдиного податку втрачає свою </w:t>
            </w: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актуальність та не поширюється на подальші періоди. Суб’єкти господарювання залишаться без нормативного акту.</w:t>
            </w:r>
          </w:p>
          <w:p w:rsidR="00DF1A82" w:rsidRPr="00B107D7" w:rsidRDefault="00DF1A82" w:rsidP="005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Відповідно до підпункту 12.3.5 пункту 12.3 статті 12 Податкового кодексу України  єдиний податок буде справлятись виходячи з норм Кодексу із застосуванням мінімальних ставок податку для суб’єктів господарювання, які будуть дорівнювати одному відсотку, що суттєво погіршить надходження до місцевого бюджету у 20</w:t>
            </w:r>
            <w:r w:rsidR="00B914E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5B0A5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році. </w:t>
            </w:r>
          </w:p>
        </w:tc>
      </w:tr>
      <w:tr w:rsidR="00DF1A82" w:rsidRPr="00B107D7" w:rsidTr="00DF1A82">
        <w:trPr>
          <w:trHeight w:val="1725"/>
        </w:trPr>
        <w:tc>
          <w:tcPr>
            <w:tcW w:w="3370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B91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Прийняття регуляторного акта відповідно до Податкового кодексу України з діючими у 20</w:t>
            </w:r>
            <w:r w:rsidR="00B914E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20</w:t>
            </w: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році максимальними ставками для платників єдиного податку І-ІІ груп</w:t>
            </w:r>
          </w:p>
        </w:tc>
        <w:tc>
          <w:tcPr>
            <w:tcW w:w="623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Забезпечення досягнення цілей державного регулювання.</w:t>
            </w:r>
          </w:p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Сталі надходження до </w:t>
            </w:r>
            <w:r w:rsidR="001269D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селищного</w:t>
            </w: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бюджету без погіршення умов для розвитку мікробізнесу.</w:t>
            </w:r>
          </w:p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Належне фінансування програм соціально-економічного розвитку громади.</w:t>
            </w:r>
          </w:p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</w:tbl>
    <w:p w:rsidR="00DF1A82" w:rsidRPr="00B107D7" w:rsidRDefault="00DF1A82" w:rsidP="00CB09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F1A82" w:rsidRPr="00B107D7" w:rsidRDefault="00DF1A82" w:rsidP="00CB0986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B107D7">
        <w:rPr>
          <w:rFonts w:ascii="Times New Roman" w:eastAsia="Times New Roman" w:hAnsi="Times New Roman"/>
          <w:sz w:val="26"/>
          <w:szCs w:val="26"/>
          <w:lang w:val="uk-UA" w:eastAsia="uk-UA"/>
        </w:rPr>
        <w:t>3.2. Оцінка вибраних альтернативних способів досягнення цілей</w:t>
      </w:r>
    </w:p>
    <w:p w:rsidR="00DF1A82" w:rsidRPr="00B107D7" w:rsidRDefault="00DF1A82" w:rsidP="00CB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B107D7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lastRenderedPageBreak/>
        <w:t>Опис вигод та витрат за кожною альтернативою для сфер інтересів держави, громадян та суб'єктів господарювання.</w:t>
      </w:r>
    </w:p>
    <w:p w:rsidR="00DF1A82" w:rsidRPr="00B107D7" w:rsidRDefault="00DF1A82" w:rsidP="00CB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B107D7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Оцінка впливу на сферу інтересів держави</w:t>
      </w:r>
    </w:p>
    <w:p w:rsidR="00DF1A82" w:rsidRPr="00B107D7" w:rsidRDefault="00DF1A82" w:rsidP="00CB09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98"/>
        <w:gridCol w:w="2764"/>
        <w:gridCol w:w="3545"/>
      </w:tblGrid>
      <w:tr w:rsidR="00DF1A82" w:rsidRPr="00B107D7" w:rsidTr="00DF1A82">
        <w:tc>
          <w:tcPr>
            <w:tcW w:w="329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 альтернативи</w:t>
            </w:r>
          </w:p>
        </w:tc>
        <w:tc>
          <w:tcPr>
            <w:tcW w:w="2764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Вигоди</w:t>
            </w:r>
          </w:p>
        </w:tc>
        <w:tc>
          <w:tcPr>
            <w:tcW w:w="3545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</w:t>
            </w:r>
          </w:p>
        </w:tc>
      </w:tr>
      <w:tr w:rsidR="00DF1A82" w:rsidRPr="009124F7" w:rsidTr="00DF1A82">
        <w:trPr>
          <w:trHeight w:val="258"/>
        </w:trPr>
        <w:tc>
          <w:tcPr>
            <w:tcW w:w="329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2764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</w:t>
            </w:r>
          </w:p>
        </w:tc>
        <w:tc>
          <w:tcPr>
            <w:tcW w:w="3545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закінченню 20</w:t>
            </w:r>
            <w:r w:rsidR="005B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року рішення про встановлення єдиного податку має бути скасовано як таке, що не пройшло регуляторну процедуру і не поширюється на подальші періоди.</w:t>
            </w:r>
          </w:p>
          <w:p w:rsidR="00DF1A82" w:rsidRPr="00B107D7" w:rsidRDefault="00DF1A82" w:rsidP="005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Відповідно до підпункту 12.3.5 пункту 12.3 статті 12 Податкового кодексу України  єдиний податок буде справлятись виходячи з норм Кодексу із застосуванням мінімальних ставок податку для суб’єктів господарювання, які будуть дорівнювати одному відсотку, що суттєво погіршить надход</w:t>
            </w:r>
            <w:r w:rsidR="00B914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ження до місцевого бюджету у 202</w:t>
            </w:r>
            <w:r w:rsidR="005B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році.   </w:t>
            </w:r>
          </w:p>
        </w:tc>
      </w:tr>
      <w:tr w:rsidR="00DF1A82" w:rsidRPr="00B107D7" w:rsidTr="00DF1A82">
        <w:trPr>
          <w:trHeight w:val="2866"/>
        </w:trPr>
        <w:tc>
          <w:tcPr>
            <w:tcW w:w="329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5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Прийняття регуляторного акта відповідно до Податкового кодексу України з діючими у 20</w:t>
            </w:r>
            <w:r w:rsidR="00B914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5B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 максимальними ставками для платників єдиного податку І-ІІ груп.</w:t>
            </w:r>
          </w:p>
        </w:tc>
        <w:tc>
          <w:tcPr>
            <w:tcW w:w="2764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Забезпечує досягнення цілей державного регулювання, сталість надходжень до </w:t>
            </w:r>
            <w:r w:rsidR="00C644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селищного 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бюджету без погіршення умов для розвитку мікробізнесу, а також належне фінансування програм соціально-економічного розвитку громади.</w:t>
            </w:r>
          </w:p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45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</w:t>
            </w:r>
          </w:p>
        </w:tc>
      </w:tr>
    </w:tbl>
    <w:p w:rsidR="00DF1A82" w:rsidRPr="00B107D7" w:rsidRDefault="00DF1A82" w:rsidP="00CB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DF1A82" w:rsidRPr="00B107D7" w:rsidRDefault="00DF1A82" w:rsidP="00CB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B107D7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Оцінка впливу на сферу інтересів громадян</w:t>
      </w:r>
    </w:p>
    <w:p w:rsidR="00DF1A82" w:rsidRPr="00B107D7" w:rsidRDefault="00DF1A82" w:rsidP="00CB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0"/>
        <w:gridCol w:w="2702"/>
        <w:gridCol w:w="3545"/>
      </w:tblGrid>
      <w:tr w:rsidR="00DF1A82" w:rsidRPr="00B107D7" w:rsidTr="00DF1A82">
        <w:tc>
          <w:tcPr>
            <w:tcW w:w="3360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 альтернативи</w:t>
            </w:r>
          </w:p>
        </w:tc>
        <w:tc>
          <w:tcPr>
            <w:tcW w:w="2702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Вигоди</w:t>
            </w:r>
          </w:p>
        </w:tc>
        <w:tc>
          <w:tcPr>
            <w:tcW w:w="3545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</w:t>
            </w:r>
          </w:p>
        </w:tc>
      </w:tr>
      <w:tr w:rsidR="00DF1A82" w:rsidRPr="00B107D7" w:rsidTr="00DF1A82">
        <w:trPr>
          <w:trHeight w:val="1005"/>
        </w:trPr>
        <w:tc>
          <w:tcPr>
            <w:tcW w:w="3360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2702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Можливе незначне зменшення споживчих цін</w:t>
            </w:r>
          </w:p>
        </w:tc>
        <w:tc>
          <w:tcPr>
            <w:tcW w:w="3545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</w:t>
            </w:r>
          </w:p>
        </w:tc>
      </w:tr>
      <w:tr w:rsidR="00DF1A82" w:rsidRPr="00B107D7" w:rsidTr="00DF1A82">
        <w:tc>
          <w:tcPr>
            <w:tcW w:w="3360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5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Прийняття регуляторного акта відповідно до Податкового кодексу України з діючими у 20</w:t>
            </w:r>
            <w:r w:rsidR="00B914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5B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 максимальними ставками для платників єдиного податку І-ІІ груп</w:t>
            </w:r>
          </w:p>
        </w:tc>
        <w:tc>
          <w:tcPr>
            <w:tcW w:w="2702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Виділення коштів з </w:t>
            </w:r>
            <w:r w:rsidR="001269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селищного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бюджету на програми соціально-економічного розвитку громади</w:t>
            </w:r>
          </w:p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45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</w:t>
            </w:r>
          </w:p>
        </w:tc>
      </w:tr>
    </w:tbl>
    <w:p w:rsidR="00DF1A82" w:rsidRPr="00B107D7" w:rsidRDefault="00DF1A82" w:rsidP="00CB0986">
      <w:pPr>
        <w:shd w:val="clear" w:color="auto" w:fill="FFFFFF"/>
        <w:spacing w:after="0" w:line="240" w:lineRule="auto"/>
        <w:rPr>
          <w:rFonts w:ascii="Roboto Condensed" w:eastAsia="Times New Roman" w:hAnsi="Roboto Condensed" w:cs="Times New Roman"/>
          <w:sz w:val="19"/>
          <w:szCs w:val="19"/>
          <w:lang w:val="uk-UA" w:eastAsia="uk-UA"/>
        </w:rPr>
      </w:pPr>
    </w:p>
    <w:p w:rsidR="00DF1A82" w:rsidRPr="00B107D7" w:rsidRDefault="00DF1A82" w:rsidP="00CB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B107D7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Оцінка впливу на сферу інтересів суб'єктів господарювання</w:t>
      </w:r>
    </w:p>
    <w:p w:rsidR="00DF1A82" w:rsidRPr="00B107D7" w:rsidRDefault="00DF1A82" w:rsidP="00CB0986">
      <w:pPr>
        <w:shd w:val="clear" w:color="auto" w:fill="FFFFFF"/>
        <w:spacing w:after="0" w:line="240" w:lineRule="auto"/>
        <w:rPr>
          <w:rFonts w:ascii="Roboto Condensed" w:eastAsia="Times New Roman" w:hAnsi="Roboto Condensed" w:cs="Times New Roman"/>
          <w:sz w:val="19"/>
          <w:szCs w:val="19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1454"/>
        <w:gridCol w:w="1554"/>
        <w:gridCol w:w="1389"/>
        <w:gridCol w:w="1426"/>
        <w:gridCol w:w="1341"/>
      </w:tblGrid>
      <w:tr w:rsidR="00DF1A82" w:rsidRPr="00C6440E" w:rsidTr="00DF1A82">
        <w:tc>
          <w:tcPr>
            <w:tcW w:w="2785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</w:t>
            </w:r>
          </w:p>
        </w:tc>
        <w:tc>
          <w:tcPr>
            <w:tcW w:w="1671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Великі</w:t>
            </w:r>
          </w:p>
        </w:tc>
        <w:tc>
          <w:tcPr>
            <w:tcW w:w="1766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Середні</w:t>
            </w:r>
          </w:p>
        </w:tc>
        <w:tc>
          <w:tcPr>
            <w:tcW w:w="165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Малі</w:t>
            </w:r>
          </w:p>
        </w:tc>
        <w:tc>
          <w:tcPr>
            <w:tcW w:w="165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</w:t>
            </w:r>
            <w:proofErr w:type="spellEnd"/>
          </w:p>
        </w:tc>
        <w:tc>
          <w:tcPr>
            <w:tcW w:w="1549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Разом</w:t>
            </w:r>
          </w:p>
        </w:tc>
      </w:tr>
      <w:tr w:rsidR="00DF1A82" w:rsidRPr="00B914E9" w:rsidTr="00DF1A82">
        <w:tc>
          <w:tcPr>
            <w:tcW w:w="2785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Кількість суб'єктів господарювання, що підпадають під дію регулювання, одиниць</w:t>
            </w:r>
          </w:p>
        </w:tc>
        <w:tc>
          <w:tcPr>
            <w:tcW w:w="1671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0</w:t>
            </w:r>
          </w:p>
        </w:tc>
        <w:tc>
          <w:tcPr>
            <w:tcW w:w="1766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65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2F6B29" w:rsidRDefault="009C1EAF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65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2F6B29" w:rsidRDefault="002F6B29" w:rsidP="009C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F6B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9C1E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1549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2F6B29" w:rsidRDefault="002F6B29" w:rsidP="009C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F6B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9C1E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  <w:r w:rsidRPr="002F6B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</w:tr>
      <w:tr w:rsidR="00DF1A82" w:rsidRPr="00B914E9" w:rsidTr="00DF1A82">
        <w:tc>
          <w:tcPr>
            <w:tcW w:w="2785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Питома вага групи у загальній кількості, відсотків</w:t>
            </w:r>
          </w:p>
        </w:tc>
        <w:tc>
          <w:tcPr>
            <w:tcW w:w="1671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0 </w:t>
            </w:r>
          </w:p>
        </w:tc>
        <w:tc>
          <w:tcPr>
            <w:tcW w:w="1766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65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2F6B29" w:rsidRDefault="009C1EAF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65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2F6B29" w:rsidRDefault="002F6B29" w:rsidP="009C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F6B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9C1E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49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2F6B29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F6B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</w:t>
            </w:r>
          </w:p>
        </w:tc>
      </w:tr>
    </w:tbl>
    <w:p w:rsidR="00DF1A82" w:rsidRPr="00B107D7" w:rsidRDefault="00DF1A82" w:rsidP="00CB0986">
      <w:pPr>
        <w:shd w:val="clear" w:color="auto" w:fill="FFFFFF"/>
        <w:spacing w:after="0" w:line="240" w:lineRule="auto"/>
        <w:rPr>
          <w:rFonts w:ascii="Roboto Condensed" w:eastAsia="Times New Roman" w:hAnsi="Roboto Condensed" w:cs="Times New Roman"/>
          <w:sz w:val="19"/>
          <w:szCs w:val="19"/>
          <w:lang w:val="uk-UA" w:eastAsia="uk-UA"/>
        </w:rPr>
      </w:pPr>
      <w:r w:rsidRPr="00B107D7">
        <w:rPr>
          <w:rFonts w:ascii="Roboto Condensed" w:eastAsia="Times New Roman" w:hAnsi="Roboto Condensed" w:cs="Times New Roman"/>
          <w:sz w:val="19"/>
          <w:szCs w:val="19"/>
          <w:lang w:val="uk-UA" w:eastAsia="uk-UA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1"/>
        <w:gridCol w:w="3121"/>
        <w:gridCol w:w="3412"/>
      </w:tblGrid>
      <w:tr w:rsidR="00DF1A82" w:rsidRPr="00B107D7" w:rsidTr="00DF1A82">
        <w:tc>
          <w:tcPr>
            <w:tcW w:w="3763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 альтернативи</w:t>
            </w:r>
          </w:p>
        </w:tc>
        <w:tc>
          <w:tcPr>
            <w:tcW w:w="3654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Вигоди</w:t>
            </w:r>
          </w:p>
        </w:tc>
        <w:tc>
          <w:tcPr>
            <w:tcW w:w="366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</w:t>
            </w:r>
          </w:p>
        </w:tc>
      </w:tr>
      <w:tr w:rsidR="00DF1A82" w:rsidRPr="00B107D7" w:rsidTr="00DF1A82">
        <w:trPr>
          <w:trHeight w:val="2011"/>
        </w:trPr>
        <w:tc>
          <w:tcPr>
            <w:tcW w:w="3763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прийняття регуляторного акта (залишення існуючої на даний момент ситуації без змін)</w:t>
            </w:r>
          </w:p>
        </w:tc>
        <w:tc>
          <w:tcPr>
            <w:tcW w:w="3654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Суб'єкти господарювання – платники податку у 20</w:t>
            </w:r>
            <w:r w:rsidR="00B914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5B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 будуть сплачувати податок за мінімальними </w:t>
            </w:r>
            <w:r w:rsidRPr="005B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ставками (1 відсоток).</w:t>
            </w:r>
          </w:p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66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Суб'єкти господарювання – платники податку у 20</w:t>
            </w:r>
            <w:r w:rsidR="00B914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5B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році будуть сплачувати податок за мінімальними ставками (1 відсоток).</w:t>
            </w:r>
          </w:p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 на сплату податку зменшаться, при цьому конкурентоспроможність не зміниться.</w:t>
            </w:r>
          </w:p>
        </w:tc>
      </w:tr>
      <w:tr w:rsidR="00DF1A82" w:rsidRPr="00B107D7" w:rsidTr="00DF1A82">
        <w:tc>
          <w:tcPr>
            <w:tcW w:w="3763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EB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Прийняття регуляторного акта відповідно до Податкового кодексу України з діючими у 20</w:t>
            </w:r>
            <w:r w:rsidR="00B914E9" w:rsidRPr="00EB0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EB0CD3" w:rsidRPr="00EB0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 максимальними ставками для платників єдиного податку І-ІІ груп</w:t>
            </w:r>
          </w:p>
        </w:tc>
        <w:tc>
          <w:tcPr>
            <w:tcW w:w="3654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</w:t>
            </w:r>
          </w:p>
        </w:tc>
        <w:tc>
          <w:tcPr>
            <w:tcW w:w="366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Суб'єкти господарювання будуть сплачувати податок за ставками згідно рішення </w:t>
            </w:r>
            <w:r w:rsidR="00C644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Семенівської селищної </w:t>
            </w: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ради.</w:t>
            </w:r>
          </w:p>
        </w:tc>
      </w:tr>
    </w:tbl>
    <w:p w:rsidR="00DF1A82" w:rsidRPr="00B107D7" w:rsidRDefault="00DF1A82" w:rsidP="00CB0986">
      <w:pPr>
        <w:shd w:val="clear" w:color="auto" w:fill="FFFFFF"/>
        <w:spacing w:after="0" w:line="240" w:lineRule="auto"/>
        <w:rPr>
          <w:rFonts w:ascii="Roboto Condensed" w:eastAsia="Times New Roman" w:hAnsi="Roboto Condensed" w:cs="Times New Roman"/>
          <w:sz w:val="19"/>
          <w:szCs w:val="19"/>
          <w:lang w:val="uk-UA" w:eastAsia="uk-UA"/>
        </w:rPr>
      </w:pPr>
      <w:r w:rsidRPr="00B107D7">
        <w:rPr>
          <w:rFonts w:ascii="Roboto Condensed" w:eastAsia="Times New Roman" w:hAnsi="Roboto Condensed" w:cs="Times New Roman"/>
          <w:sz w:val="19"/>
          <w:szCs w:val="19"/>
          <w:lang w:val="uk-UA" w:eastAsia="uk-UA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84"/>
        <w:gridCol w:w="3030"/>
      </w:tblGrid>
      <w:tr w:rsidR="00DF1A82" w:rsidRPr="00B107D7" w:rsidTr="00C45235">
        <w:tc>
          <w:tcPr>
            <w:tcW w:w="764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Сумарні витрати за альтернативами</w:t>
            </w:r>
          </w:p>
        </w:tc>
        <w:tc>
          <w:tcPr>
            <w:tcW w:w="343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B107D7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0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 витрат, гривень</w:t>
            </w:r>
          </w:p>
        </w:tc>
      </w:tr>
      <w:tr w:rsidR="00DF1A82" w:rsidRPr="00B107D7" w:rsidTr="00C45235">
        <w:tc>
          <w:tcPr>
            <w:tcW w:w="764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Альтернатива 1 «Не прийняття регуляторного акта (залишення існуючої на даний момент ситуації без змін)»</w:t>
            </w:r>
          </w:p>
          <w:p w:rsidR="00DF1A82" w:rsidRPr="0031335E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Сумарні витрати для суб'єктів господарювання великого і середнього підприємництва згідно з додатком 2 до Методики проведення аналізу впливу регуляторного акта (рядок 11 таблиці "Витрати на одного суб'єкта господарювання великого і середнього підприємництва, які виникають внаслідок дії регуляторного акта")</w:t>
            </w:r>
          </w:p>
        </w:tc>
        <w:tc>
          <w:tcPr>
            <w:tcW w:w="343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DF1A82" w:rsidRPr="00B107D7" w:rsidTr="00C45235">
        <w:tc>
          <w:tcPr>
            <w:tcW w:w="7648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Альтернатива 2 «Прийняття регуляторного акта відповідно до Податкового кодексу України з діючими у </w:t>
            </w:r>
            <w:r w:rsidRPr="00EB0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="00B914E9" w:rsidRPr="00EB0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EB0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</w:t>
            </w: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максимальними ставками для платників єдиного податку І-ІІ груп»</w:t>
            </w:r>
          </w:p>
          <w:p w:rsidR="00DF1A82" w:rsidRPr="0031335E" w:rsidRDefault="00DF1A82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Сумарні витрати для суб'єктів господарювання великого і середнього підприємництва згідно з додатком 2 до Методики проведення аналізу впливу регуляторного акта (рядок 11 таблиці "Витрати на одного суб'єкта господарювання великого і середнього підприємництва, які виникають внаслідок дії регуляторного акта")</w:t>
            </w:r>
          </w:p>
        </w:tc>
        <w:tc>
          <w:tcPr>
            <w:tcW w:w="3437" w:type="dxa"/>
            <w:shd w:val="clear" w:color="auto" w:fill="auto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DF1A82" w:rsidRPr="0031335E" w:rsidRDefault="00DF1A82" w:rsidP="00CB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33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3304ED" w:rsidRPr="00BA5835" w:rsidRDefault="009D7965" w:rsidP="00CB09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0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 </w:t>
      </w:r>
      <w:r w:rsidR="003304ED" w:rsidRPr="00B107D7">
        <w:rPr>
          <w:rFonts w:ascii="Times New Roman" w:hAnsi="Times New Roman" w:cs="Times New Roman"/>
          <w:sz w:val="26"/>
          <w:szCs w:val="26"/>
          <w:lang w:val="uk-UA"/>
        </w:rPr>
        <w:t xml:space="preserve">Таким чином,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Альтернативи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вирішення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даної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проблеми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немає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оскільки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Податкового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кодексу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органи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самостійно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встановлюють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визначають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порядок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сплати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r w:rsidR="00C45235" w:rsidRPr="00B107D7">
        <w:rPr>
          <w:rFonts w:ascii="Times New Roman" w:hAnsi="Times New Roman" w:cs="Times New Roman"/>
          <w:bCs/>
          <w:sz w:val="26"/>
          <w:szCs w:val="26"/>
          <w:lang w:val="uk-UA"/>
        </w:rPr>
        <w:t>єдиного податку</w:t>
      </w:r>
      <w:r w:rsidR="00F90A1B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переліку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в межах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установлених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граничних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розмірів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ставок. У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разі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встановлення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3304ED" w:rsidRPr="00B107D7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3304ED" w:rsidRPr="00B107D7">
        <w:rPr>
          <w:rFonts w:ascii="Times New Roman" w:hAnsi="Times New Roman" w:cs="Times New Roman"/>
          <w:sz w:val="26"/>
          <w:szCs w:val="26"/>
        </w:rPr>
        <w:t>ішенням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ставок </w:t>
      </w:r>
      <w:r w:rsidR="00C45235" w:rsidRPr="00B107D7">
        <w:rPr>
          <w:rFonts w:ascii="Times New Roman" w:hAnsi="Times New Roman" w:cs="Times New Roman"/>
          <w:bCs/>
          <w:sz w:val="26"/>
          <w:szCs w:val="26"/>
          <w:lang w:val="uk-UA"/>
        </w:rPr>
        <w:t>єдиного податку</w:t>
      </w:r>
      <w:r w:rsidR="003304ED" w:rsidRPr="00B107D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такий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податок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сплачується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платниками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у порядку,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встановленому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Кодексом.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Неприйняття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3304ED" w:rsidRPr="00B107D7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3304ED" w:rsidRPr="00B107D7">
        <w:rPr>
          <w:rFonts w:ascii="Times New Roman" w:hAnsi="Times New Roman" w:cs="Times New Roman"/>
          <w:sz w:val="26"/>
          <w:szCs w:val="26"/>
        </w:rPr>
        <w:t>ішення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«</w:t>
      </w:r>
      <w:r w:rsidR="00035059" w:rsidRPr="00B107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затвердження ставок єдиного податку на території </w:t>
      </w:r>
      <w:proofErr w:type="spellStart"/>
      <w:r w:rsidR="00035059" w:rsidRPr="00B107D7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Семенівської</w:t>
      </w:r>
      <w:proofErr w:type="spellEnd"/>
      <w:r w:rsidR="00035059" w:rsidRPr="00B107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селищної  ради </w:t>
      </w:r>
      <w:proofErr w:type="spellStart"/>
      <w:r w:rsidR="00035059" w:rsidRPr="00B107D7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035059" w:rsidRPr="00B107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Полтавської  області на 20</w:t>
      </w:r>
      <w:r w:rsidR="00B914E9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5B0A54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035059" w:rsidRPr="00B107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="003304ED" w:rsidRPr="00B107D7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спричинить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значні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втрати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дохідної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частини</w:t>
      </w:r>
      <w:proofErr w:type="spellEnd"/>
      <w:r w:rsidR="003304ED" w:rsidRPr="00B107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107D7">
        <w:rPr>
          <w:rFonts w:ascii="Times New Roman" w:hAnsi="Times New Roman" w:cs="Times New Roman"/>
          <w:sz w:val="26"/>
          <w:szCs w:val="26"/>
        </w:rPr>
        <w:t>селищного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бюджету.</w:t>
      </w:r>
    </w:p>
    <w:p w:rsidR="009D7965" w:rsidRPr="00BA5835" w:rsidRDefault="009D7965" w:rsidP="00CB098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</w:p>
    <w:p w:rsidR="00584672" w:rsidRPr="005D3500" w:rsidRDefault="00584672" w:rsidP="00CB0986">
      <w:pPr>
        <w:spacing w:after="0" w:line="240" w:lineRule="auto"/>
        <w:ind w:firstLine="567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4. Вибір найбільш оптимального альтернативного способу досягнення цілей.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  визначення  оптимального альтернативного способу з урахуванням  системи бальної оцінки ступеня досягнення  визначених цілей.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Вартість балів визначається за чотирибальною системою оцінки ступеня  досягнення  визначених цілей, де: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4 - цілі прийняття  регуляторного акта, які  можуть  бути досягнуті повною мірою ( проблема більше  існувати не буде);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 – цілі прийняття  регуляторного акта, які  можуть бути досягнуті майже повною мірою ( усі важливі  аспекти проблеми існувати не будуть);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 – цілі прийняття  регуляторного акта, які  можут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 бути досягнуті частково (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проблема значно зменшиться, деякі важливі та критичні аспекти проблеми залишаться невирішеними);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1-     </w:t>
      </w:r>
      <w:r w:rsidRPr="005D3500">
        <w:rPr>
          <w:rFonts w:ascii="Times New Roman" w:eastAsia="Times New Roman" w:hAnsi="Times New Roman" w:cs="Times New Roman"/>
          <w:sz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цілі прийняття регуляторного акта, я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кі  не можуть бути досягнуті  (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проблема продовжує існувати).</w:t>
      </w:r>
    </w:p>
    <w:p w:rsidR="00937435" w:rsidRPr="005D3500" w:rsidRDefault="00584672" w:rsidP="00CB098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2269"/>
        <w:gridCol w:w="2693"/>
        <w:gridCol w:w="4643"/>
      </w:tblGrid>
      <w:tr w:rsidR="00584672" w:rsidRPr="005D3500" w:rsidTr="00C57A31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Рейтинг  результативно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сті (</w:t>
            </w: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досягнення цілей під час вирішення проблеми)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 результативності</w:t>
            </w:r>
          </w:p>
        </w:tc>
        <w:tc>
          <w:tcPr>
            <w:tcW w:w="46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 Коментарі щодо присвоєння відповідного  бала</w:t>
            </w:r>
          </w:p>
        </w:tc>
      </w:tr>
      <w:tr w:rsidR="00584672" w:rsidRPr="005D3500" w:rsidTr="00C57A31">
        <w:tc>
          <w:tcPr>
            <w:tcW w:w="2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EB0C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Альтернатива </w:t>
            </w:r>
            <w:r w:rsidR="00EB0CD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EB0CD3" w:rsidRDefault="00EB0CD3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EB0CD3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дозволить повністю досягти поставлені цілі та вирішити проблеми щодо розміру оптимальних ставок</w:t>
            </w:r>
            <w:r w:rsidR="00EE3E2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єдиного податку.</w:t>
            </w:r>
          </w:p>
        </w:tc>
      </w:tr>
      <w:tr w:rsidR="00584672" w:rsidRPr="005D3500" w:rsidTr="00C57A31">
        <w:tc>
          <w:tcPr>
            <w:tcW w:w="2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Альтернатива </w:t>
            </w:r>
            <w:r w:rsidR="00EE3E2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EE3E24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Спричинить незручності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суб»єктів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господарювання та погіршить процес адміністрування податку</w:t>
            </w:r>
            <w:r w:rsidR="00584672"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</w:tr>
    </w:tbl>
    <w:p w:rsidR="00584672" w:rsidRDefault="00584672" w:rsidP="00CB09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</w:t>
      </w:r>
    </w:p>
    <w:tbl>
      <w:tblPr>
        <w:tblW w:w="9750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69"/>
        <w:gridCol w:w="3083"/>
        <w:gridCol w:w="2201"/>
        <w:gridCol w:w="2197"/>
      </w:tblGrid>
      <w:tr w:rsidR="00584672" w:rsidRPr="005D3500" w:rsidTr="0088023A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Рейтинг результативності</w:t>
            </w:r>
          </w:p>
        </w:tc>
        <w:tc>
          <w:tcPr>
            <w:tcW w:w="3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Вимоги ( підсумок)</w:t>
            </w:r>
          </w:p>
        </w:tc>
        <w:tc>
          <w:tcPr>
            <w:tcW w:w="2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Витрати </w:t>
            </w:r>
          </w:p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( підсумок)</w:t>
            </w:r>
          </w:p>
        </w:tc>
        <w:tc>
          <w:tcPr>
            <w:tcW w:w="21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Обгрунтування</w:t>
            </w:r>
            <w:proofErr w:type="spellEnd"/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відповідного місця альтернативи у рейтингу</w:t>
            </w:r>
          </w:p>
        </w:tc>
      </w:tr>
      <w:tr w:rsidR="00584672" w:rsidRPr="005D3500" w:rsidTr="0088023A">
        <w:tc>
          <w:tcPr>
            <w:tcW w:w="2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Альтернатива </w:t>
            </w:r>
            <w:r w:rsidR="009124F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EE3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Від прийняття регуляторного акту залежить  зміцнення фінансової бази 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селищного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бюджету, отримання додаткових надходжень, збільшення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фінансування соціальної сфери, забезпечення  прозорості ставок по </w:t>
            </w:r>
            <w:r w:rsidR="00EE3E2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податку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 забезпечення  рівних прав та  можливостей для всіх</w:t>
            </w:r>
            <w:r w:rsidR="00F90A1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громадян та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суб’єктів господарювання.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EE3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Витрати, пов’язані з прийняттям, оприлюдненням  та  популяризацією  регуляторного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акту, сплата податків  за  ставками, що будуть затверджені 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селищною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 радою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Проблема, яку передбачається розв’язати  з прийняттям цього рішення, полягає у вдосконаленні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ставок по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сплаті єдиного податку та виконання вимог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чинного законодавства</w:t>
            </w:r>
          </w:p>
        </w:tc>
      </w:tr>
      <w:tr w:rsidR="00584672" w:rsidRPr="005D3500" w:rsidTr="0088023A">
        <w:tc>
          <w:tcPr>
            <w:tcW w:w="2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EE3E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Альтернатива </w:t>
            </w:r>
            <w:r w:rsidR="009124F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461BA7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Сплата податків і зборів за ставками </w:t>
            </w: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прийнят</w:t>
            </w:r>
            <w:r w:rsidR="00461BA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ими</w:t>
            </w: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 в 201</w:t>
            </w:r>
            <w:r w:rsidR="005B0A5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</w:t>
            </w: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році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Недоотримання надходжень до бюджету, фінансування бюджетної  сфери </w:t>
            </w:r>
            <w:r w:rsidR="002627C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селищної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ради залишиться на  тому ж рівні. Витрати, пов’язані з  необхідністю ведення  обліку, перерахуванням  податків  та зборів до  бюджету і подання  податкової звітності.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461BA7" w:rsidRDefault="00461BA7" w:rsidP="00EE3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Необхідність встановлення на території громади ставок податку, які не призведуть до надмірного податкового навантаження і збережуть сприятливі умови для економічного розвитку</w:t>
            </w:r>
          </w:p>
        </w:tc>
      </w:tr>
    </w:tbl>
    <w:p w:rsidR="00584672" w:rsidRDefault="00584672" w:rsidP="00CB09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1985"/>
        <w:gridCol w:w="3194"/>
        <w:gridCol w:w="4426"/>
      </w:tblGrid>
      <w:tr w:rsidR="00584672" w:rsidRPr="005D3500" w:rsidTr="00C57A31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Рейтинг  </w:t>
            </w:r>
          </w:p>
        </w:tc>
        <w:tc>
          <w:tcPr>
            <w:tcW w:w="3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Аргументи щодо переваги обраної альтернативи/ причини відмови від альтернативи)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Оцінка ризику зовнішніх чинників  на  дію запропонованого регуляторного акта</w:t>
            </w:r>
          </w:p>
        </w:tc>
      </w:tr>
      <w:tr w:rsidR="00584672" w:rsidRPr="009124F7" w:rsidTr="00C57A31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461B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Альтернатива  </w:t>
            </w:r>
            <w:r w:rsidR="009124F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Вдосконалення ставок по місцевим податкам і зборам згідно норм чинного законодавства, збільшення  надходження  до селищного бюджету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AF649D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Приведення регуляторного акта  у відповідність до чинного законодавства в ра</w:t>
            </w:r>
            <w:r w:rsidR="00F91C8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зі скасування або зміни  ставок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податку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можуть мати як позитивний  так і  негативний характер. Також негативний вплив  може  мати  економічна  криза  в країні та  значні темпи інфл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яції. Ці фактори  призведуть до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зниження платоспроможності</w:t>
            </w:r>
            <w:r w:rsidR="00F91C8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громадян та  суб’єктів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підприємницької</w:t>
            </w:r>
            <w:r w:rsidR="00F91C8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діяльності, що в  подальшому призведе до великих заборгованостей. Позитивно може  вплинути на дію регуляторного  акта стабілізація економічної ситуації зниження  соціальної  напруженості в суспільстві. В результаті  збільшення дохідної частини бюджету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підвищиться  рівень соціального забезпечення  окремих категорій громадян і всього населення 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об’єднаної територіальної громади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  цілому.</w:t>
            </w:r>
          </w:p>
        </w:tc>
      </w:tr>
      <w:tr w:rsidR="00584672" w:rsidRPr="005D3500" w:rsidTr="00C57A31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461B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Альтернатива </w:t>
            </w:r>
            <w:r w:rsidR="009124F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Недоотримання  надходжень до бюджету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B0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</w:p>
        </w:tc>
      </w:tr>
    </w:tbl>
    <w:p w:rsidR="00584672" w:rsidRPr="008F6766" w:rsidRDefault="00584672" w:rsidP="00CB09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035059" w:rsidRPr="00D21A93" w:rsidRDefault="008F6766" w:rsidP="00CB09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76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Оцінивши зазначені способи, перевага була віддана другому способу, </w:t>
      </w:r>
      <w:r w:rsidR="00035059"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оскільки прийняття такого регуляторного акту  </w:t>
      </w:r>
      <w:proofErr w:type="spellStart"/>
      <w:r w:rsidR="00035059" w:rsidRPr="00D21A93">
        <w:rPr>
          <w:rFonts w:ascii="Times New Roman" w:hAnsi="Times New Roman" w:cs="Times New Roman"/>
          <w:sz w:val="26"/>
          <w:szCs w:val="26"/>
        </w:rPr>
        <w:t>забезпечить</w:t>
      </w:r>
      <w:proofErr w:type="spellEnd"/>
      <w:r w:rsidR="00035059" w:rsidRPr="00D21A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5059" w:rsidRPr="00D21A93">
        <w:rPr>
          <w:rFonts w:ascii="Times New Roman" w:hAnsi="Times New Roman" w:cs="Times New Roman"/>
          <w:sz w:val="26"/>
          <w:szCs w:val="26"/>
        </w:rPr>
        <w:t>дотримання</w:t>
      </w:r>
      <w:proofErr w:type="spellEnd"/>
      <w:r w:rsidR="00035059" w:rsidRPr="00D21A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5059" w:rsidRPr="00D21A93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="00035059" w:rsidRPr="00D21A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5059" w:rsidRPr="00D21A93">
        <w:rPr>
          <w:rFonts w:ascii="Times New Roman" w:hAnsi="Times New Roman" w:cs="Times New Roman"/>
          <w:sz w:val="26"/>
          <w:szCs w:val="26"/>
        </w:rPr>
        <w:t>податкового</w:t>
      </w:r>
      <w:proofErr w:type="spellEnd"/>
      <w:r w:rsidR="00035059" w:rsidRPr="00D21A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5059" w:rsidRPr="00D21A93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="00035059"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035059" w:rsidRPr="00D21A93" w:rsidRDefault="00035059" w:rsidP="00CB098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Виконання  вимог даного регуляторного акта не потребує значних  додаткових витрат і коштів селищного бюджету, лише потрібні витрати на інформування громадян та  суб’єктів підприємницької діяльності про </w:t>
      </w:r>
      <w:r w:rsidR="006E72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затверджені</w:t>
      </w:r>
      <w:r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ставк</w:t>
      </w:r>
      <w:r w:rsidR="006E72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</w:t>
      </w:r>
      <w:r w:rsidRPr="00D21A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E72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єдиного податку.</w:t>
      </w:r>
    </w:p>
    <w:p w:rsidR="008F6766" w:rsidRDefault="008F6766" w:rsidP="00CB0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5.     Механізми та  заходи, які забезпечать розв’язання визначеної  проблеми.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статті 12 Податкового кодексу  України до повноважень </w:t>
      </w:r>
      <w:r w:rsidR="00D565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селищної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 ради   належить  прийняття рішення  про встановлення місцевих податків та зборів.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Пропонується прийняти рішення </w:t>
      </w:r>
      <w:r w:rsidR="00D565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Семенівської селищної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 «</w:t>
      </w:r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затвердження ставок єдиного податку на території </w:t>
      </w:r>
      <w:proofErr w:type="spellStart"/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Семенівської</w:t>
      </w:r>
      <w:proofErr w:type="spellEnd"/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селищної  ради </w:t>
      </w:r>
      <w:proofErr w:type="spellStart"/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Полтавської  області на 20</w:t>
      </w:r>
      <w:r w:rsidR="00B914E9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5B0A54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035059" w:rsidRPr="00E372D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для  врегулювання питання ставок місцевих податків і зборів. 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Механізм дії регуляторного акту полягає у забезпеченні :</w:t>
      </w:r>
    </w:p>
    <w:p w:rsidR="00584672" w:rsidRPr="005D3500" w:rsidRDefault="00584672" w:rsidP="00CB098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 w:rsidR="00F91C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затвердження рішення  про ставки місцевих податків і зборів;</w:t>
      </w:r>
    </w:p>
    <w:p w:rsidR="00584672" w:rsidRPr="005D3500" w:rsidRDefault="00584672" w:rsidP="00CB098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Інформування платників про встановлення ставки справляння податків і зборів ;</w:t>
      </w:r>
    </w:p>
    <w:p w:rsidR="00584672" w:rsidRPr="005D3500" w:rsidRDefault="00584672" w:rsidP="00CB098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сприяння веденню підприємницької  діяльності суб’єктів господарювання, які є платниками місцевих податків і зборів;</w:t>
      </w:r>
    </w:p>
    <w:p w:rsidR="00584672" w:rsidRPr="005D3500" w:rsidRDefault="00584672" w:rsidP="00CB098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забезпечення  надходжень встановлених податків і зборів до </w:t>
      </w:r>
      <w:r w:rsidR="00AF64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селищного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бюджету .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Запропонований спосіб досягнення цілей є єдиним і безумовним шляхом  вирішення проблеми і ґрунтується  на загальнообов’язковості оподаткування  норм зазначеного рішення  та відповідає принципу державної регуляторної політики. А саме: доцільність, адекватність, ефективність, збалансованість, передбачуваність, принципу прозорості та врахування громадської думки  та  пропозицій суб’єктів підприємницької діяльності.</w:t>
      </w:r>
    </w:p>
    <w:p w:rsidR="00584672" w:rsidRPr="005D3500" w:rsidRDefault="00584672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8F6766" w:rsidRPr="009C53AC" w:rsidRDefault="00584672" w:rsidP="00CB0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6.</w:t>
      </w:r>
      <w:r w:rsidR="008F6766" w:rsidRPr="009C53A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="008F6766"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Обґрунтування можливості досягнення встановлених цілей у разі  прийняття запропонованого регуляторного акта:</w:t>
      </w:r>
    </w:p>
    <w:p w:rsidR="008F6766" w:rsidRPr="009C53AC" w:rsidRDefault="008F6766" w:rsidP="00CB0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Передбачається, що об'єкти – платники  місцевих податків та зборів будуть неухильно виконувати вимоги запропонованого </w:t>
      </w:r>
      <w:proofErr w:type="spellStart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</w:t>
      </w:r>
      <w:r w:rsidR="00137B1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є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кту</w:t>
      </w:r>
      <w:proofErr w:type="spellEnd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рішення, тобто в повному обсязі та своєчасно вносити податкові платежі, оскільки вартість виконання цих вимог нижча, ніж вартість ухилення від виконання таких вимог.</w:t>
      </w:r>
    </w:p>
    <w:p w:rsidR="008F6766" w:rsidRPr="009C53AC" w:rsidRDefault="008F6766" w:rsidP="00CB0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Вигоди від виконання зазначених вимог будуть відчуватися як об'єктами – платниками  місцевих податків та зборів, так і територіальною громадою в цілому. Збільшення доходної частини бюджету призведе до підвищення рівня соціального забезпечення як окремих категорій громадян, так і економічного розвитку </w:t>
      </w:r>
      <w:r w:rsidR="002627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Семенівської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 </w:t>
      </w:r>
      <w:r w:rsidR="00AF649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об’єднаної територіальної громади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 цілому.</w:t>
      </w:r>
    </w:p>
    <w:p w:rsidR="00C57A31" w:rsidRDefault="00C57A31" w:rsidP="00CB09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CB09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lastRenderedPageBreak/>
        <w:t>7. Обґрунтування, що  досягнення запропонованим регуляторним актом встановлених цілей є можливим з найменшими витратами для об'єктів – платників  місцевих податків та зборів, громадян та держави:</w:t>
      </w:r>
    </w:p>
    <w:p w:rsid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Прийняття рішення про місцеві податки та збори, буде сприяти виведенню платників із тіньо</w:t>
      </w:r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вого бізнесу до правового русла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, економічному розвитку сіл, зміцненню місцевого бюджету.</w:t>
      </w:r>
    </w:p>
    <w:p w:rsidR="00C57A31" w:rsidRDefault="00C57A31" w:rsidP="00CB09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CB09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8. Обґрунтування, щодо  вигоди/ витрати,  що виникатимуть внаслідок дії запропонованого регуляторного акта, виправдовують витрати у випадку, якщо витрати та / або вигоди не можуть бути кількісно визначені:</w:t>
      </w:r>
    </w:p>
    <w:tbl>
      <w:tblPr>
        <w:tblW w:w="970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68"/>
        <w:gridCol w:w="3642"/>
        <w:gridCol w:w="2995"/>
      </w:tblGrid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Сфери впливу</w:t>
            </w:r>
          </w:p>
        </w:tc>
        <w:tc>
          <w:tcPr>
            <w:tcW w:w="4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Вигоди</w:t>
            </w:r>
          </w:p>
        </w:tc>
        <w:tc>
          <w:tcPr>
            <w:tcW w:w="3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Витрати</w:t>
            </w:r>
          </w:p>
        </w:tc>
      </w:tr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Влада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 збільшення надходжень до місцевого бюджету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Процедура прийняття регуляторного акту</w:t>
            </w:r>
          </w:p>
        </w:tc>
      </w:tr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6E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об'єкти – платники  </w:t>
            </w:r>
            <w:r w:rsidR="006E721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єдиного податку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Прозорість встановлених податків і зборів, можливість обирати різні види підприємницької діяльності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6E721C" w:rsidP="006E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</w:t>
            </w:r>
            <w:r w:rsidR="009C53AC"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плата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єдиного </w:t>
            </w:r>
            <w:r w:rsidR="009C53AC"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податк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за прийнятими ставками</w:t>
            </w:r>
          </w:p>
        </w:tc>
      </w:tr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Громадяни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B0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Збільшення надходжень до місцевого бюджету, які будуть направлені на вирішення соціально – економічних питань громади 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6E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  <w:r w:rsidR="006E721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</w:t>
            </w:r>
            <w:r w:rsidR="00F91C82"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плата </w:t>
            </w:r>
            <w:r w:rsidR="006E721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єдиного податку за прийнятими ставками</w:t>
            </w:r>
          </w:p>
        </w:tc>
      </w:tr>
    </w:tbl>
    <w:p w:rsidR="009C53AC" w:rsidRPr="009C53AC" w:rsidRDefault="009C53AC" w:rsidP="00CB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9C53AC" w:rsidRPr="009C53AC" w:rsidRDefault="009C53AC" w:rsidP="00CB09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9. Оцінка можливості  впровадження та виконання вимог регуляторного акта в залежності від ресурсів,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якими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розпоряджаються органи місцевого самоврядування, фізичні та юридичні особи, які повинні впроваджувати або виконувати ці вимоги: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Впровадження та виконання вимог регуляторного акта не залежить від ресурсів </w:t>
      </w:r>
      <w:r w:rsidR="00F91C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D5655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Семенівської селищної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ради, а об’єкти – платники місцевих податків та зборів повинні сплачувати місцеві податки та збори у розмірах, передбачених цим </w:t>
      </w:r>
      <w:proofErr w:type="spellStart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</w:t>
      </w:r>
      <w:r w:rsidR="00137B1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є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ктом</w:t>
      </w:r>
      <w:proofErr w:type="spellEnd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рішення.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Впровадження та виконання вимог проекту рішення забезпечується наступними ресурсами:</w:t>
      </w:r>
    </w:p>
    <w:p w:rsidR="009C53AC" w:rsidRPr="009C53AC" w:rsidRDefault="009C53AC" w:rsidP="00CB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частиною 24 пункту 1 статті 26 "Закону України  "Про місцеве самоврядування в Україні"</w:t>
      </w:r>
    </w:p>
    <w:p w:rsidR="009C53AC" w:rsidRPr="009C53AC" w:rsidRDefault="009C53AC" w:rsidP="00CB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іншим податковим законодавством.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Оскільки цей акт носить адміністративний характер та законом встановлено відповідальність фізичних та юридичних осіб за порушення законодавства в цій сфері, то цілі, що обумовили розробку цього акта, мають бути повністю досягнуті.</w:t>
      </w:r>
    </w:p>
    <w:p w:rsidR="00C57A31" w:rsidRDefault="00C57A31" w:rsidP="00CB098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0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.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Оцінка ризику впливу зовнішніх чинників на дію запропонованого регуляторного акта: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Найбільш значним зовнішнім фактором є зміни чинного законодавства України, що може призвести до неможливості  місцевим податкам та зборам залишення без змін.</w:t>
      </w:r>
    </w:p>
    <w:p w:rsidR="00C57A31" w:rsidRDefault="00C57A31" w:rsidP="00CB098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1</w:t>
      </w: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.  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Обґрунтування запропонованого строку чинності регуляторного акта:</w:t>
      </w:r>
    </w:p>
    <w:p w:rsidR="009C53AC" w:rsidRPr="005D3500" w:rsidRDefault="009C53AC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Запропонований регуляторний акт є строковим. Строк дії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вказаного рішення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 календарний рік. Зазначений </w:t>
      </w:r>
      <w:proofErr w:type="spellStart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137B1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</w:t>
      </w:r>
      <w:proofErr w:type="spellEnd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  нормативно-правового акту є загальнообов’язковим до застосування  на території  </w:t>
      </w:r>
      <w:r w:rsidR="00D565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Семенівської селищної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ради..</w:t>
      </w:r>
    </w:p>
    <w:p w:rsidR="009C53AC" w:rsidRPr="005D3500" w:rsidRDefault="009C53AC" w:rsidP="00CB098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 У разі внесення змін до Податкового кодексу України в частині справляння місцевих податків та зборів  відповідні зміни будуть внесені до цього регуляторного акта.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2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.  </w:t>
      </w: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Визначення показників результативності регуляторного акта: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Пропонується використати наступні показники результативності: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розмір надходжень до місцевого бюджету, пов'язаних з дією акта – в цілому на протязі року;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кількість об’єктів – платників місцевих податків та зборів, на яких поширюється дія запропонованого акта.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рівень поінформованості об’єктів – платників місцевих податків та зборів, які: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а) можуть ознайомитися</w:t>
      </w:r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 про</w:t>
      </w:r>
      <w:r w:rsidR="00E106C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є</w:t>
      </w:r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ктом  рішення на офіційному сайті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б) отримають регуляторний акт за запитом до органу місцевого самоврядування;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в) отримають регуляторний акт або інформацію щодо основних його положень іншими шляхами.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Передбачається середній рівень поінформованості об’єктів – платників місцевих податків та зборів з основних положень акта за рахунок розміщення повідомлення про оприлюднення та самого </w:t>
      </w:r>
      <w:proofErr w:type="spellStart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</w:t>
      </w:r>
      <w:r w:rsidR="00137B1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є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кту</w:t>
      </w:r>
      <w:proofErr w:type="spellEnd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рішення </w:t>
      </w:r>
      <w:proofErr w:type="spellStart"/>
      <w:r w:rsidR="00D5655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Семенівської</w:t>
      </w:r>
      <w:proofErr w:type="spellEnd"/>
      <w:r w:rsidR="00D5655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селищної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ради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Окрім цього, після прийняття цього рішення його буде офіційно </w:t>
      </w:r>
      <w:proofErr w:type="spellStart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оприлюднено</w:t>
      </w:r>
      <w:proofErr w:type="spellEnd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згідно вимог Закону України «Про засади державної регуляторної політики у сфері господарської діяльності»;</w:t>
      </w:r>
    </w:p>
    <w:p w:rsid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розмір коштів і час, що витрачатимуться об’єктами – платниками місцевих податків та зборів, пов'язаних з виконанням вимог акта – запровадження цього регуляторного акта не впливає на розмір коштів і час, що витрачається об’єктами – платниками місцевих податків та зборів, пов'язаних з виконанням вимог акта.</w:t>
      </w:r>
    </w:p>
    <w:p w:rsidR="00C57A31" w:rsidRDefault="00C57A31" w:rsidP="00CB09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9C53AC" w:rsidRDefault="009C53AC" w:rsidP="00CB09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3</w:t>
      </w: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.  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Визначення заходів, за допомогою яких буде здійснюватись відстеження результативності регуляторного акта в разі його прийняття:</w:t>
      </w:r>
    </w:p>
    <w:p w:rsidR="009C53AC" w:rsidRPr="009C53AC" w:rsidRDefault="009C53AC" w:rsidP="00CB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Для здійснення відстеження результативності регуляторного акту планується використання лише статистичних </w:t>
      </w:r>
      <w:r w:rsidRP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показників. </w:t>
      </w:r>
      <w:proofErr w:type="gramStart"/>
      <w:r w:rsidR="00356A92" w:rsidRPr="00356A92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відстеження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результативності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буде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застосовано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аналіз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даних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бюджетної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податкової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звітності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аналіз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динаміки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кількості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платників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єдиного</w:t>
      </w:r>
      <w:proofErr w:type="spellEnd"/>
      <w:r w:rsidR="00356A92" w:rsidRPr="00356A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6A92" w:rsidRPr="00356A92">
        <w:rPr>
          <w:rFonts w:ascii="Times New Roman" w:hAnsi="Times New Roman" w:cs="Times New Roman"/>
          <w:sz w:val="26"/>
          <w:szCs w:val="26"/>
        </w:rPr>
        <w:t>податку</w:t>
      </w:r>
      <w:proofErr w:type="spellEnd"/>
      <w:r w:rsidR="00356A92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Здійснення повторного відстеження результативності регуляторного акту буде проведено не раніше ніж через рік після набрання ним чинності.</w:t>
      </w:r>
    </w:p>
    <w:p w:rsidR="00532B42" w:rsidRDefault="00532B42" w:rsidP="00CB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532B42" w:rsidRDefault="00532B42" w:rsidP="00CB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B914E9" w:rsidRDefault="00B914E9" w:rsidP="00CB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485679" w:rsidRPr="00F91C82" w:rsidRDefault="00971670" w:rsidP="00CB09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Селищний голова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Милашевич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Л. П. </w:t>
      </w:r>
      <w:r w:rsidR="00F91C82" w:rsidRPr="00F91C8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485679" w:rsidRPr="00F91C82" w:rsidSect="00BE1FED">
      <w:pgSz w:w="11906" w:h="16838"/>
      <w:pgMar w:top="709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 Condensed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494A"/>
    <w:multiLevelType w:val="multilevel"/>
    <w:tmpl w:val="AA1C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F3758"/>
    <w:rsid w:val="00034445"/>
    <w:rsid w:val="00035059"/>
    <w:rsid w:val="00094CB9"/>
    <w:rsid w:val="000958F8"/>
    <w:rsid w:val="00095C0F"/>
    <w:rsid w:val="000B4602"/>
    <w:rsid w:val="00101280"/>
    <w:rsid w:val="00104A6B"/>
    <w:rsid w:val="00117D6A"/>
    <w:rsid w:val="001269D6"/>
    <w:rsid w:val="00137B12"/>
    <w:rsid w:val="001466FA"/>
    <w:rsid w:val="002036EA"/>
    <w:rsid w:val="0021061E"/>
    <w:rsid w:val="002627CE"/>
    <w:rsid w:val="00271D28"/>
    <w:rsid w:val="00287D01"/>
    <w:rsid w:val="002945FE"/>
    <w:rsid w:val="002C3BA4"/>
    <w:rsid w:val="002F6B29"/>
    <w:rsid w:val="00301C2A"/>
    <w:rsid w:val="0031335E"/>
    <w:rsid w:val="003304ED"/>
    <w:rsid w:val="003434CD"/>
    <w:rsid w:val="00356A92"/>
    <w:rsid w:val="003D0921"/>
    <w:rsid w:val="00411A64"/>
    <w:rsid w:val="00461BA7"/>
    <w:rsid w:val="00485679"/>
    <w:rsid w:val="004C27B9"/>
    <w:rsid w:val="00523230"/>
    <w:rsid w:val="00532B42"/>
    <w:rsid w:val="005538D7"/>
    <w:rsid w:val="00554793"/>
    <w:rsid w:val="005558C7"/>
    <w:rsid w:val="00563F7C"/>
    <w:rsid w:val="00584672"/>
    <w:rsid w:val="005B0A54"/>
    <w:rsid w:val="006A28CC"/>
    <w:rsid w:val="006E721C"/>
    <w:rsid w:val="006F052C"/>
    <w:rsid w:val="006F4416"/>
    <w:rsid w:val="007827E8"/>
    <w:rsid w:val="007A4076"/>
    <w:rsid w:val="007E3587"/>
    <w:rsid w:val="007F3758"/>
    <w:rsid w:val="00832DF8"/>
    <w:rsid w:val="0088023A"/>
    <w:rsid w:val="008B5D24"/>
    <w:rsid w:val="008E7E3E"/>
    <w:rsid w:val="008F6359"/>
    <w:rsid w:val="008F6766"/>
    <w:rsid w:val="009124F7"/>
    <w:rsid w:val="00937435"/>
    <w:rsid w:val="00971670"/>
    <w:rsid w:val="00982DF9"/>
    <w:rsid w:val="009A2D52"/>
    <w:rsid w:val="009B562F"/>
    <w:rsid w:val="009C1EAF"/>
    <w:rsid w:val="009C53AC"/>
    <w:rsid w:val="009D7965"/>
    <w:rsid w:val="00A64ACF"/>
    <w:rsid w:val="00A866FF"/>
    <w:rsid w:val="00AF18B0"/>
    <w:rsid w:val="00AF649D"/>
    <w:rsid w:val="00B107D7"/>
    <w:rsid w:val="00B33FAA"/>
    <w:rsid w:val="00B4072E"/>
    <w:rsid w:val="00B51F01"/>
    <w:rsid w:val="00B712A2"/>
    <w:rsid w:val="00B914E9"/>
    <w:rsid w:val="00BA5835"/>
    <w:rsid w:val="00BE1FED"/>
    <w:rsid w:val="00C45235"/>
    <w:rsid w:val="00C57A31"/>
    <w:rsid w:val="00C6440E"/>
    <w:rsid w:val="00C82379"/>
    <w:rsid w:val="00CB0986"/>
    <w:rsid w:val="00CC6F77"/>
    <w:rsid w:val="00CE29D6"/>
    <w:rsid w:val="00D26824"/>
    <w:rsid w:val="00D433EB"/>
    <w:rsid w:val="00D56551"/>
    <w:rsid w:val="00D61F8E"/>
    <w:rsid w:val="00DC4781"/>
    <w:rsid w:val="00DE7B7C"/>
    <w:rsid w:val="00DF1A82"/>
    <w:rsid w:val="00DF5A8E"/>
    <w:rsid w:val="00E106C4"/>
    <w:rsid w:val="00E372D2"/>
    <w:rsid w:val="00E53984"/>
    <w:rsid w:val="00EB0CD3"/>
    <w:rsid w:val="00EC0A3E"/>
    <w:rsid w:val="00ED1366"/>
    <w:rsid w:val="00EE3E24"/>
    <w:rsid w:val="00F147BF"/>
    <w:rsid w:val="00F23152"/>
    <w:rsid w:val="00F90A1B"/>
    <w:rsid w:val="00F91C82"/>
    <w:rsid w:val="00FB5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58"/>
  </w:style>
  <w:style w:type="paragraph" w:styleId="3">
    <w:name w:val="heading 3"/>
    <w:basedOn w:val="a"/>
    <w:link w:val="30"/>
    <w:qFormat/>
    <w:rsid w:val="005547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C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7A31"/>
    <w:rPr>
      <w:color w:val="0000FF"/>
      <w:u w:val="single"/>
    </w:rPr>
  </w:style>
  <w:style w:type="paragraph" w:styleId="a4">
    <w:name w:val="Normal (Web)"/>
    <w:basedOn w:val="a"/>
    <w:link w:val="a5"/>
    <w:uiPriority w:val="99"/>
    <w:rsid w:val="003D0921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5">
    <w:name w:val="Обычный (веб) Знак"/>
    <w:link w:val="a4"/>
    <w:uiPriority w:val="99"/>
    <w:locked/>
    <w:rsid w:val="003D0921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547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9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1436">
              <w:marLeft w:val="62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75750">
          <w:marLeft w:val="5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67183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97193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2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9012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0186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59848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19524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741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121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33834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79604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090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4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3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2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1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6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2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04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591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244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988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26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4617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3762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71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7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13234">
              <w:marLeft w:val="1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20">
              <w:marLeft w:val="1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328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360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11522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1515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8491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275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73909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2422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763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8935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424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04927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318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4317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7871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205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5108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7556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32565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28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674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5808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1658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8811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727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8798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760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6329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5660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572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2909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08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05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262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5248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872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191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337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280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8560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933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700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208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61727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38902">
              <w:marLeft w:val="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048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259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189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5305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072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529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188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7076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06169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782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11777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528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612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84191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264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678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725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7899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73951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3126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3239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689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103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1346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4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2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74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6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5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3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5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5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3426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7006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4955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7633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0662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835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5581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6147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8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13027</Words>
  <Characters>7426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SEM15</cp:lastModifiedBy>
  <cp:revision>12</cp:revision>
  <cp:lastPrinted>2019-07-31T11:21:00Z</cp:lastPrinted>
  <dcterms:created xsi:type="dcterms:W3CDTF">2019-04-23T11:01:00Z</dcterms:created>
  <dcterms:modified xsi:type="dcterms:W3CDTF">2020-05-05T08:18:00Z</dcterms:modified>
</cp:coreProperties>
</file>