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5" w:rsidRPr="00BD32A3" w:rsidRDefault="009D7965" w:rsidP="009D7965">
      <w:pPr>
        <w:spacing w:after="0" w:line="281" w:lineRule="atLeast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Аналіз   регуляторного  впливу</w:t>
      </w:r>
    </w:p>
    <w:p w:rsidR="009D7965" w:rsidRPr="00BD32A3" w:rsidRDefault="009D7965" w:rsidP="009D7965">
      <w:pPr>
        <w:spacing w:after="0" w:line="281" w:lineRule="atLeast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 до </w:t>
      </w:r>
      <w:proofErr w:type="spellStart"/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є</w:t>
      </w: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кту</w:t>
      </w:r>
      <w:proofErr w:type="spellEnd"/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рішення </w:t>
      </w:r>
      <w:r w:rsidR="00D56551"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Семенівської селищної </w:t>
      </w: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ради</w:t>
      </w:r>
    </w:p>
    <w:p w:rsidR="009D7965" w:rsidRPr="00BD32A3" w:rsidRDefault="009D7965" w:rsidP="0098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«</w:t>
      </w:r>
      <w:r w:rsidR="0098238C"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="0098238C"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>Семенівського</w:t>
      </w:r>
      <w:proofErr w:type="spellEnd"/>
      <w:r w:rsidR="0098238C"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рай</w:t>
      </w:r>
      <w:r w:rsidR="00D05C14">
        <w:rPr>
          <w:rFonts w:ascii="Times New Roman" w:hAnsi="Times New Roman" w:cs="Times New Roman"/>
          <w:b/>
          <w:bCs/>
          <w:sz w:val="26"/>
          <w:szCs w:val="26"/>
          <w:lang w:val="uk-UA"/>
        </w:rPr>
        <w:t>ону  Полтавської області на 202</w:t>
      </w:r>
      <w:r w:rsidR="008756D9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98238C"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рік</w:t>
      </w:r>
      <w:r w:rsidR="005476EA"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>»</w:t>
      </w: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9D7965" w:rsidRPr="00BD32A3" w:rsidRDefault="009D7965" w:rsidP="00F90A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 </w:t>
      </w:r>
    </w:p>
    <w:p w:rsidR="00095C0F" w:rsidRPr="00BD32A3" w:rsidRDefault="00095C0F" w:rsidP="00D05C1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>Розробники:</w:t>
      </w:r>
      <w:r w:rsidRPr="00BD32A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05C14">
        <w:rPr>
          <w:rFonts w:ascii="Times New Roman" w:hAnsi="Times New Roman" w:cs="Times New Roman"/>
          <w:sz w:val="26"/>
          <w:szCs w:val="26"/>
          <w:lang w:val="uk-UA"/>
        </w:rPr>
        <w:t>Відділ</w:t>
      </w:r>
      <w:r w:rsidR="00D05C14" w:rsidRPr="00F91C82">
        <w:rPr>
          <w:rFonts w:ascii="Times New Roman" w:hAnsi="Times New Roman" w:cs="Times New Roman"/>
          <w:sz w:val="26"/>
          <w:szCs w:val="26"/>
          <w:lang w:val="uk-UA"/>
        </w:rPr>
        <w:t xml:space="preserve"> економічного розвитку та інвестицій</w:t>
      </w:r>
      <w:r w:rsidR="00D05C14" w:rsidRPr="00BD32A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1FED" w:rsidRPr="00BD32A3">
        <w:rPr>
          <w:rFonts w:ascii="Times New Roman" w:hAnsi="Times New Roman" w:cs="Times New Roman"/>
          <w:sz w:val="26"/>
          <w:szCs w:val="26"/>
          <w:lang w:val="uk-UA"/>
        </w:rPr>
        <w:t>Виконавч</w:t>
      </w:r>
      <w:r w:rsidR="00D05C14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BD32A3">
        <w:rPr>
          <w:rFonts w:ascii="Times New Roman" w:hAnsi="Times New Roman" w:cs="Times New Roman"/>
          <w:sz w:val="26"/>
          <w:szCs w:val="26"/>
          <w:lang w:val="uk-UA"/>
        </w:rPr>
        <w:t xml:space="preserve"> комітет</w:t>
      </w:r>
      <w:r w:rsidR="00D05C14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BD32A3">
        <w:rPr>
          <w:rFonts w:ascii="Times New Roman" w:hAnsi="Times New Roman" w:cs="Times New Roman"/>
          <w:sz w:val="26"/>
          <w:szCs w:val="26"/>
          <w:lang w:val="uk-UA"/>
        </w:rPr>
        <w:t xml:space="preserve"> Семенівської селищної ради</w:t>
      </w:r>
      <w:r w:rsidR="00D05C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05C14">
        <w:rPr>
          <w:rFonts w:ascii="Times New Roman" w:hAnsi="Times New Roman" w:cs="Times New Roman"/>
          <w:sz w:val="26"/>
          <w:szCs w:val="26"/>
          <w:lang w:val="uk-UA"/>
        </w:rPr>
        <w:t>Семенівського</w:t>
      </w:r>
      <w:proofErr w:type="spellEnd"/>
      <w:r w:rsidR="00D05C14">
        <w:rPr>
          <w:rFonts w:ascii="Times New Roman" w:hAnsi="Times New Roman" w:cs="Times New Roman"/>
          <w:sz w:val="26"/>
          <w:szCs w:val="26"/>
          <w:lang w:val="uk-UA"/>
        </w:rPr>
        <w:t xml:space="preserve"> району Полтавської області </w:t>
      </w:r>
      <w:r w:rsidRPr="00BD32A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95C0F" w:rsidRPr="00BD32A3" w:rsidRDefault="00095C0F" w:rsidP="00095C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BD32A3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BD32A3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Контактний телефон: </w:t>
      </w:r>
      <w:r w:rsidRPr="00BD32A3">
        <w:rPr>
          <w:rFonts w:ascii="Times New Roman" w:hAnsi="Times New Roman" w:cs="Times New Roman"/>
          <w:sz w:val="26"/>
          <w:szCs w:val="26"/>
          <w:lang w:val="uk-UA"/>
        </w:rPr>
        <w:t>(05341) 91-2-80</w:t>
      </w:r>
    </w:p>
    <w:p w:rsidR="00095C0F" w:rsidRPr="00BD32A3" w:rsidRDefault="00095C0F" w:rsidP="009D7965">
      <w:pPr>
        <w:spacing w:after="0" w:line="281" w:lineRule="atLeast"/>
        <w:rPr>
          <w:rFonts w:ascii="Arial" w:eastAsia="Times New Roman" w:hAnsi="Arial" w:cs="Arial"/>
          <w:sz w:val="26"/>
          <w:szCs w:val="26"/>
          <w:lang w:val="uk-UA" w:eastAsia="ru-RU"/>
        </w:rPr>
      </w:pPr>
    </w:p>
    <w:p w:rsidR="009D7965" w:rsidRPr="00BD32A3" w:rsidRDefault="009D7965" w:rsidP="009D7965">
      <w:pPr>
        <w:spacing w:after="0" w:line="240" w:lineRule="auto"/>
        <w:ind w:hanging="360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1.</w:t>
      </w:r>
      <w:r w:rsidRPr="00BD32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 </w:t>
      </w: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Визначення  проблеми</w:t>
      </w:r>
    </w:p>
    <w:p w:rsidR="009D7965" w:rsidRPr="00BD32A3" w:rsidRDefault="009D7965" w:rsidP="009D7965">
      <w:pPr>
        <w:spacing w:after="0" w:line="240" w:lineRule="auto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BD32A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 </w:t>
      </w:r>
    </w:p>
    <w:p w:rsidR="003D0921" w:rsidRPr="003D0921" w:rsidRDefault="003D0921" w:rsidP="003D092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Однією з проблем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  є недостатня наповнюваність місцевого бюджету, що не дозволяє виконувати місцеві бюджетні програми, забезпечити належний рівень життя жителів населених пунктів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об’єднаної територіальної громади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3D0921" w:rsidRPr="003D0921" w:rsidRDefault="003D0921" w:rsidP="003D092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Джерелами надходження коштів до місцевого бюджету, серед іншого, є податки та збори, які сплачуються суб’єктами господарської діяльності, зареєстрованими на території</w:t>
      </w:r>
      <w:r w:rsidRPr="003D0921">
        <w:rPr>
          <w:rFonts w:ascii="Times New Roman" w:hAnsi="Times New Roman"/>
          <w:color w:val="000000"/>
          <w:sz w:val="26"/>
          <w:szCs w:val="26"/>
        </w:rPr>
        <w:t> 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Семенівської селищної</w:t>
      </w:r>
      <w:r w:rsidR="00F90A1B">
        <w:rPr>
          <w:rFonts w:ascii="Times New Roman" w:hAnsi="Times New Roman"/>
          <w:color w:val="000000"/>
          <w:sz w:val="26"/>
          <w:szCs w:val="26"/>
          <w:lang w:val="uk-UA"/>
        </w:rPr>
        <w:t xml:space="preserve">  ради</w:t>
      </w:r>
      <w:r w:rsidRPr="003D0921">
        <w:rPr>
          <w:rFonts w:ascii="Times New Roman" w:hAnsi="Times New Roman"/>
          <w:color w:val="000000"/>
          <w:sz w:val="26"/>
          <w:szCs w:val="26"/>
          <w:lang w:val="uk-UA"/>
        </w:rPr>
        <w:t>, відповідно до Податкового кодексу України (ПКУ), та розміри ставок яких встановлюються місцевими радами.</w:t>
      </w:r>
    </w:p>
    <w:p w:rsidR="009D7965" w:rsidRPr="00FB5349" w:rsidRDefault="009D7965" w:rsidP="009D796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Аналіз  регуляторного впливу </w:t>
      </w:r>
      <w:proofErr w:type="spellStart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 рішення </w:t>
      </w:r>
      <w:r w:rsidR="00D56551" w:rsidRPr="00FB5349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  «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</w:t>
      </w:r>
      <w:r w:rsidR="00D05C14">
        <w:rPr>
          <w:rFonts w:ascii="Times New Roman" w:hAnsi="Times New Roman" w:cs="Times New Roman"/>
          <w:bCs/>
          <w:sz w:val="26"/>
          <w:szCs w:val="26"/>
          <w:lang w:val="uk-UA"/>
        </w:rPr>
        <w:t>йону  Полтавської області на 202</w:t>
      </w:r>
      <w:r w:rsidR="008756D9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підготовлений відповідно до ст.8 Закону Украї</w:t>
      </w:r>
      <w:r w:rsidR="00DC47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ни «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 засади державної  регуляторної політики у сфері господарської  діяльності» від 11.09.2003 року № 1160-І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та  Методики  проведення аналізу регуляторного впливу, затвердженої  Постановою Кабінету Міністрів України від 11.03.2004 №  308 ( зі  змінами та  доповненнями ).</w:t>
      </w:r>
    </w:p>
    <w:p w:rsidR="009D7965" w:rsidRPr="00FB5349" w:rsidRDefault="009D7965" w:rsidP="009D7965">
      <w:pPr>
        <w:spacing w:after="0" w:line="281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Аналіз визначає  правові та  організаційні  засади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реалізації </w:t>
      </w:r>
      <w:proofErr w:type="spellStart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  </w:t>
      </w:r>
      <w:r w:rsidR="00FB5349"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</w:t>
      </w:r>
      <w:r w:rsidR="00D05C14">
        <w:rPr>
          <w:rFonts w:ascii="Times New Roman" w:hAnsi="Times New Roman" w:cs="Times New Roman"/>
          <w:bCs/>
          <w:sz w:val="26"/>
          <w:szCs w:val="26"/>
          <w:lang w:val="uk-UA"/>
        </w:rPr>
        <w:t>ону  Полтавської області на 202</w:t>
      </w:r>
      <w:r w:rsidR="008756D9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».</w:t>
      </w:r>
    </w:p>
    <w:p w:rsidR="009D7965" w:rsidRPr="00FB5349" w:rsidRDefault="009D7965" w:rsidP="009D7965">
      <w:pPr>
        <w:spacing w:after="0" w:line="281" w:lineRule="atLeast"/>
        <w:ind w:firstLine="708"/>
        <w:jc w:val="both"/>
        <w:rPr>
          <w:rFonts w:ascii="Arial" w:eastAsia="Times New Roman" w:hAnsi="Arial" w:cs="Arial"/>
          <w:sz w:val="26"/>
          <w:szCs w:val="26"/>
          <w:lang w:val="uk-UA" w:eastAsia="ru-RU"/>
        </w:rPr>
      </w:pP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п.24.26, статті 26, статті 69 Закону України « Про міс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цеве самоврядування в Україні» ст..ст. 7, 8, 10, 12, 266</w:t>
      </w:r>
      <w:r w:rsidRP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Податкового кодексу України повноваження щодо встановлення  місцевих податків і зборів  покладені на органи місцевого самоврядування.</w:t>
      </w:r>
    </w:p>
    <w:p w:rsidR="009D7965" w:rsidRPr="005D3500" w:rsidRDefault="009D7965" w:rsidP="009D7965">
      <w:pPr>
        <w:spacing w:after="0" w:line="281" w:lineRule="atLeast"/>
        <w:ind w:firstLine="708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Основні групи, на які проблема справляє вплив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96"/>
        <w:gridCol w:w="1276"/>
        <w:gridCol w:w="1099"/>
      </w:tblGrid>
      <w:tr w:rsidR="009D7965" w:rsidRPr="005D3500" w:rsidTr="00C57A31">
        <w:tc>
          <w:tcPr>
            <w:tcW w:w="7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Групи ( підгрупи)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Так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Ні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Держава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Суб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’</w:t>
            </w:r>
            <w:proofErr w:type="spellStart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єкти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господарювання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  <w:tr w:rsidR="009D7965" w:rsidRPr="005D3500" w:rsidTr="00C57A31">
        <w:tc>
          <w:tcPr>
            <w:tcW w:w="71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У тому  числі суб’єкти малого підприємництва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+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</w:tr>
    </w:tbl>
    <w:p w:rsidR="009D7965" w:rsidRPr="00C57A31" w:rsidRDefault="009D7965" w:rsidP="009D7965">
      <w:pPr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Питання, яке  пропонується  вирішити  шляхом прийняття відповідного  регуляторного акта, дуж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важлив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для всіх членів територіальної громади. Прийняття рішення  необхідно для прозорого та  ефективного встановлення місцевих податків та зборів, збільшення надходжень до бюджету</w:t>
      </w:r>
      <w:r w:rsidR="00FB534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Семенівської об’єднаної територіальної громади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здійснення необхідного контролю за своєчасністю  та  повнотою  проведення  платежів.</w:t>
      </w:r>
      <w:r w:rsid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t xml:space="preserve">Встановлення ставок єдиного податку, які відповідають вимогам сьогодення, матиме суттєве значення не тільки </w:t>
      </w:r>
      <w:r w:rsidR="00C57A31" w:rsidRPr="00C57A31">
        <w:rPr>
          <w:rFonts w:ascii="Times New Roman" w:hAnsi="Times New Roman" w:cs="Times New Roman"/>
          <w:sz w:val="26"/>
          <w:szCs w:val="26"/>
          <w:lang w:val="uk-UA"/>
        </w:rPr>
        <w:lastRenderedPageBreak/>
        <w:t>для місцевого бюджету, але й для громадян, що мешкають на території селищної ради, тому що від цього залежить фінансування місцевих бюджетних програм.</w:t>
      </w:r>
    </w:p>
    <w:p w:rsidR="009D7965" w:rsidRPr="00C57A31" w:rsidRDefault="009D7965" w:rsidP="009D7965">
      <w:pPr>
        <w:spacing w:after="0" w:line="28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57A3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9D7965">
      <w:pPr>
        <w:spacing w:after="0" w:line="240" w:lineRule="auto"/>
        <w:ind w:hanging="360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2.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Цілі державного регулювання</w:t>
      </w:r>
    </w:p>
    <w:p w:rsidR="009D7965" w:rsidRPr="005D3500" w:rsidRDefault="009D7965" w:rsidP="009D796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 </w:t>
      </w:r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ради  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</w:t>
      </w:r>
      <w:r w:rsidR="007C2977">
        <w:rPr>
          <w:rFonts w:ascii="Times New Roman" w:hAnsi="Times New Roman" w:cs="Times New Roman"/>
          <w:bCs/>
          <w:sz w:val="26"/>
          <w:szCs w:val="26"/>
          <w:lang w:val="uk-UA"/>
        </w:rPr>
        <w:t>ону  Полтавської області на 2021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розроблено на виконання вимог Податкового кодексу України від  02.12.2010 № 2755-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І.</w:t>
      </w:r>
    </w:p>
    <w:p w:rsidR="009D7965" w:rsidRPr="005D3500" w:rsidRDefault="009D7965" w:rsidP="009D796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Основними цілями прийняття  пропонованого регуляторного акта  є :</w:t>
      </w:r>
    </w:p>
    <w:p w:rsidR="009D7965" w:rsidRPr="00532B42" w:rsidRDefault="009D7965" w:rsidP="009D796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2036EA">
        <w:rPr>
          <w:rFonts w:ascii="Times New Roman" w:eastAsia="Times New Roman" w:hAnsi="Times New Roman" w:cs="Times New Roman"/>
          <w:color w:val="FF0000"/>
          <w:sz w:val="26"/>
          <w:szCs w:val="26"/>
          <w:lang w:val="uk-UA" w:eastAsia="ru-RU"/>
        </w:rPr>
        <w:t xml:space="preserve">            </w:t>
      </w:r>
      <w:r w:rsidRPr="00532B4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Задоволення інтересів місцевої громади з  питань :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наповнення  селищного  бюджету, шляхом отримання  додаткового обсягу надходжень;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</w:t>
      </w:r>
      <w:r w:rsidR="007C5A4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здійснення  планування та прогнозування  надходжень від місцевих податків та зборів при формуванні  бюджету;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найбільш повного обліку </w:t>
      </w:r>
      <w:r w:rsidR="00F90A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нерухомого майна, відмінного від земельної ділянки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раціонального та ефективного </w:t>
      </w:r>
      <w:r w:rsidR="00DC478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провадження господарської діяльності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9D7965" w:rsidRPr="005D3500" w:rsidRDefault="002036EA" w:rsidP="009D796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</w:t>
      </w:r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адоволення  інтересів суб’єктів господарської діяльності: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вдосконалення відносин, що виникають у сфері справляння  місцевих податків і зборів;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встановлення доцільних та обґрунтованих розмірів ставок місцевих податків і зборів в межах визначених Податковим кодексом України від 02.12.2010 № 2755-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І.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9D7965">
      <w:pPr>
        <w:spacing w:after="0" w:line="281" w:lineRule="atLeast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 Визначення  та оцінка альтернативних способів досягнення цілей.</w:t>
      </w:r>
    </w:p>
    <w:p w:rsidR="007F3758" w:rsidRDefault="007F3758" w:rsidP="007F3758">
      <w:pPr>
        <w:spacing w:after="0" w:line="281" w:lineRule="atLeast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9D7965" w:rsidRPr="005D3500" w:rsidRDefault="009D7965" w:rsidP="009D7965">
      <w:pPr>
        <w:spacing w:after="0" w:line="281" w:lineRule="atLeast"/>
        <w:ind w:left="14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3.1.Визначення альтернативних способів.</w:t>
      </w:r>
    </w:p>
    <w:p w:rsidR="009D7965" w:rsidRDefault="007C5A45" w:rsidP="009D79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</w:t>
      </w:r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Для  досягнення визначених цілей під час розробки </w:t>
      </w:r>
      <w:proofErr w:type="spellStart"/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="009D7965"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рішення  було розглянуто наступні альтернативні способи вирішення проблеми:</w:t>
      </w:r>
    </w:p>
    <w:tbl>
      <w:tblPr>
        <w:tblW w:w="10007" w:type="dxa"/>
        <w:tblCellMar>
          <w:left w:w="0" w:type="dxa"/>
          <w:right w:w="0" w:type="dxa"/>
        </w:tblCellMar>
        <w:tblLook w:val="04A0"/>
      </w:tblPr>
      <w:tblGrid>
        <w:gridCol w:w="2731"/>
        <w:gridCol w:w="7276"/>
      </w:tblGrid>
      <w:tr w:rsidR="009D7965" w:rsidRPr="005D3500" w:rsidTr="009D7965">
        <w:trPr>
          <w:trHeight w:val="302"/>
        </w:trPr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Вид альтернативи</w:t>
            </w:r>
          </w:p>
        </w:tc>
        <w:tc>
          <w:tcPr>
            <w:tcW w:w="7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Опис  альтернативи</w:t>
            </w:r>
          </w:p>
        </w:tc>
      </w:tr>
      <w:tr w:rsidR="009D7965" w:rsidRPr="005D3500" w:rsidTr="009D7965">
        <w:trPr>
          <w:trHeight w:val="1506"/>
        </w:trPr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7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8756D9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Збереження існуючого стану, тобто неприйняття  відповідного рішення, призводить до справляння  місцевих податків і зборів відповідно до рішення  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сесії </w:t>
            </w:r>
            <w:r w:rsidR="00D5655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Семенівської селищної 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ради </w:t>
            </w:r>
            <w:r w:rsidR="00C82379"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20</w:t>
            </w:r>
            <w:r w:rsidR="0010128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  <w:r w:rsidR="008756D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  <w:r w:rsidR="00C82379"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року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  </w:t>
            </w:r>
          </w:p>
        </w:tc>
      </w:tr>
      <w:tr w:rsidR="009D7965" w:rsidRPr="00DC4781" w:rsidTr="009D7965">
        <w:trPr>
          <w:trHeight w:val="2126"/>
        </w:trPr>
        <w:tc>
          <w:tcPr>
            <w:tcW w:w="27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7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DC4781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Прийняття 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</w:t>
            </w:r>
            <w:r w:rsidR="008756D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є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кту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рішення «</w:t>
            </w:r>
            <w:r w:rsidR="0098238C" w:rsidRPr="0098238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      </w:r>
            <w:proofErr w:type="spellStart"/>
            <w:r w:rsidR="0098238C" w:rsidRPr="0098238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Семенівського</w:t>
            </w:r>
            <w:proofErr w:type="spellEnd"/>
            <w:r w:rsidR="0098238C" w:rsidRPr="0098238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рай</w:t>
            </w:r>
            <w:r w:rsidR="00D05C14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ону  Полтавської області на 202</w:t>
            </w:r>
            <w:r w:rsidR="008756D9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</w:t>
            </w:r>
            <w:r w:rsidR="0098238C" w:rsidRPr="0098238C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рік</w:t>
            </w:r>
            <w:r w:rsidR="009D7965" w:rsidRPr="005D3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DC4781" w:rsidRPr="00DC4781" w:rsidRDefault="009D7965" w:rsidP="00DC4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Цей </w:t>
            </w:r>
            <w:r w:rsidRPr="00DC478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регуляторний акт, спрямований  на  приведення  ставок по </w:t>
            </w:r>
          </w:p>
          <w:p w:rsidR="009D7965" w:rsidRPr="00DC4781" w:rsidRDefault="00DC4781" w:rsidP="00F90A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DC478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 сплаті </w:t>
            </w:r>
            <w:r w:rsidR="00F90A1B" w:rsidRPr="00F90A1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податку на нерухоме майно</w:t>
            </w:r>
            <w:r w:rsidRPr="00DC478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відповідність до вимог Податкового кодексу України, забезпечення 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прозорого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F90A1B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proofErr w:type="spellStart"/>
            <w:r w:rsidR="00F90A1B">
              <w:rPr>
                <w:rFonts w:ascii="Times New Roman" w:hAnsi="Times New Roman" w:cs="Times New Roman"/>
                <w:sz w:val="26"/>
                <w:szCs w:val="26"/>
              </w:rPr>
              <w:t>ефективного</w:t>
            </w:r>
            <w:proofErr w:type="spellEnd"/>
            <w:r w:rsidR="00F90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90A1B">
              <w:rPr>
                <w:rFonts w:ascii="Times New Roman" w:hAnsi="Times New Roman" w:cs="Times New Roman"/>
                <w:sz w:val="26"/>
                <w:szCs w:val="26"/>
              </w:rPr>
              <w:t>встановлення</w:t>
            </w:r>
            <w:proofErr w:type="spellEnd"/>
            <w:r w:rsidR="00F90A1B">
              <w:rPr>
                <w:rFonts w:ascii="Times New Roman" w:hAnsi="Times New Roman" w:cs="Times New Roman"/>
                <w:sz w:val="26"/>
                <w:szCs w:val="26"/>
              </w:rPr>
              <w:t xml:space="preserve"> став</w:t>
            </w:r>
            <w:proofErr w:type="spellStart"/>
            <w:r w:rsidR="00F90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ок</w:t>
            </w:r>
            <w:proofErr w:type="spellEnd"/>
            <w:r w:rsidR="00F90A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0A1B" w:rsidRPr="00F90A1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податку на нерухоме майно</w:t>
            </w:r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здійснення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необхідного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контролю за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своєчасністю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повнотою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proofErr w:type="spellEnd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C4781">
              <w:rPr>
                <w:rFonts w:ascii="Times New Roman" w:hAnsi="Times New Roman" w:cs="Times New Roman"/>
                <w:sz w:val="26"/>
                <w:szCs w:val="26"/>
              </w:rPr>
              <w:t>платежів</w:t>
            </w:r>
            <w:proofErr w:type="spellEnd"/>
            <w:r w:rsidR="009D7965" w:rsidRPr="00DC478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</w:tr>
    </w:tbl>
    <w:p w:rsidR="009D7965" w:rsidRPr="00DC4781" w:rsidRDefault="009D7965" w:rsidP="009D7965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5D3500" w:rsidRDefault="009D7965" w:rsidP="009D7965">
      <w:pPr>
        <w:spacing w:after="0" w:line="281" w:lineRule="atLeast"/>
        <w:ind w:left="142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3.2Оцінка вибраних альтернативних способів досягнення цілей.</w:t>
      </w:r>
    </w:p>
    <w:p w:rsidR="009D7965" w:rsidRDefault="009D7965" w:rsidP="009D796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Впровадження у дію даних альтернатив   дає  можливість отримати наступні вигоди  та витрати.</w:t>
      </w:r>
    </w:p>
    <w:p w:rsidR="007C5A45" w:rsidRPr="005D3500" w:rsidRDefault="007C5A45" w:rsidP="009D796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9D7965" w:rsidRPr="005D3500" w:rsidRDefault="009D7965" w:rsidP="009D796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Оцінка впливу  на сферу  інтересів  органу  місцевого  самоврядування.</w:t>
      </w:r>
    </w:p>
    <w:p w:rsidR="009D7965" w:rsidRPr="005D3500" w:rsidRDefault="009D7965" w:rsidP="009D7965">
      <w:pPr>
        <w:spacing w:after="0" w:line="281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/>
      </w:tblPr>
      <w:tblGrid>
        <w:gridCol w:w="2266"/>
        <w:gridCol w:w="4363"/>
        <w:gridCol w:w="3118"/>
      </w:tblGrid>
      <w:tr w:rsidR="009D7965" w:rsidRPr="005D3500" w:rsidTr="00C57A31">
        <w:trPr>
          <w:trHeight w:val="330"/>
        </w:trPr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43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Вигоди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D7965" w:rsidRPr="005D3500" w:rsidTr="00C57A31">
        <w:trPr>
          <w:trHeight w:val="988"/>
        </w:trPr>
        <w:tc>
          <w:tcPr>
            <w:tcW w:w="2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BA5835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1.Відсутні</w:t>
            </w:r>
            <w:r w:rsidR="00BA583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1.Недоотримання  надходжень до бюджету</w:t>
            </w:r>
          </w:p>
        </w:tc>
      </w:tr>
      <w:tr w:rsidR="009D7965" w:rsidRPr="005D3500" w:rsidTr="00C57A31">
        <w:trPr>
          <w:trHeight w:val="3293"/>
        </w:trPr>
        <w:tc>
          <w:tcPr>
            <w:tcW w:w="2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1.Забезпечення  виконання  вимог чинного законодавства.</w:t>
            </w:r>
          </w:p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2.Реалізація державної політики у сфері відносин щодо оподаткування.</w:t>
            </w:r>
          </w:p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3.Наповнення селищного бюджету, шляхом  отримання додаткових обсягів надходжень.</w:t>
            </w:r>
          </w:p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4. Зміцнення  фінансової бази селищного бюджету.</w:t>
            </w:r>
          </w:p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5. Збільшення  фінансування селищних бюджетних  програм.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 Витрати, пов’язані з прийняттям, оприлюдненням  та  популяризацією регуляторного акту</w:t>
            </w:r>
          </w:p>
        </w:tc>
      </w:tr>
    </w:tbl>
    <w:p w:rsidR="009D7965" w:rsidRPr="005D3500" w:rsidRDefault="009D7965" w:rsidP="009D7965">
      <w:pPr>
        <w:spacing w:after="0" w:line="281" w:lineRule="atLeast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9D7965" w:rsidRPr="00C57A31" w:rsidRDefault="009D7965" w:rsidP="00C57A31">
      <w:pPr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Оцінка впливу на сферу інтересів громадян</w:t>
      </w:r>
    </w:p>
    <w:tbl>
      <w:tblPr>
        <w:tblpPr w:leftFromText="180" w:rightFromText="180" w:vertAnchor="page" w:horzAnchor="margin" w:tblpY="1306"/>
        <w:tblW w:w="9747" w:type="dxa"/>
        <w:tblCellMar>
          <w:left w:w="0" w:type="dxa"/>
          <w:right w:w="0" w:type="dxa"/>
        </w:tblCellMar>
        <w:tblLook w:val="04A0"/>
      </w:tblPr>
      <w:tblGrid>
        <w:gridCol w:w="2234"/>
        <w:gridCol w:w="4395"/>
        <w:gridCol w:w="3118"/>
      </w:tblGrid>
      <w:tr w:rsidR="009D7965" w:rsidRPr="005D3500" w:rsidTr="00C57A31">
        <w:trPr>
          <w:trHeight w:val="306"/>
        </w:trPr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9D79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4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9D79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Вигоди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9D79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D7965" w:rsidRPr="005D3500" w:rsidTr="00C57A31">
        <w:trPr>
          <w:trHeight w:val="919"/>
        </w:trPr>
        <w:tc>
          <w:tcPr>
            <w:tcW w:w="22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9D79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9D7965">
            <w:pPr>
              <w:spacing w:after="0" w:line="2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1.Збереження цін на  товари і послуги  на  існуючому рівні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7A4076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Фінансування бюджетної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сфери </w:t>
            </w:r>
            <w:r w:rsidR="00D5655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селищної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ради залишиться на тому ж рівні.</w:t>
            </w:r>
          </w:p>
        </w:tc>
      </w:tr>
      <w:tr w:rsidR="009D7965" w:rsidRPr="005D3500" w:rsidTr="00C57A31">
        <w:trPr>
          <w:trHeight w:val="1839"/>
        </w:trPr>
        <w:tc>
          <w:tcPr>
            <w:tcW w:w="22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D837CD" w:rsidRDefault="009D7965" w:rsidP="009D796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D837CD" w:rsidRDefault="009D7965" w:rsidP="00D837CD">
            <w:pPr>
              <w:spacing w:after="0" w:line="2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1.Збільшення  </w:t>
            </w:r>
            <w:r w:rsidR="00D837CD"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надходжень селищного бюджету нададуть можливість впровадження і реалізації програм </w:t>
            </w:r>
            <w:proofErr w:type="spellStart"/>
            <w:r w:rsidR="00D837CD"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соціально-</w:t>
            </w:r>
            <w:proofErr w:type="spellEnd"/>
            <w:r w:rsidR="00D837CD"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економічного розвитку громади та підвищення рівня соціальних стандартів</w:t>
            </w:r>
            <w:r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D05C14" w:rsidRDefault="009D7965" w:rsidP="00D837CD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highlight w:val="yellow"/>
                <w:lang w:eastAsia="ru-RU"/>
              </w:rPr>
            </w:pPr>
            <w:r w:rsidRP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</w:t>
            </w:r>
            <w:r w:rsidR="00D837C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Сплата податку за ставками, прийнятими даним регуляторним актом до повідомлень-рішень контролюючого органу </w:t>
            </w:r>
          </w:p>
        </w:tc>
      </w:tr>
    </w:tbl>
    <w:p w:rsidR="009D7965" w:rsidRPr="005D3500" w:rsidRDefault="009D7965" w:rsidP="009D796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3.3.Оцінка впливу на сферу інтересів суб’єктів господарювання</w:t>
      </w:r>
    </w:p>
    <w:p w:rsidR="009D7965" w:rsidRPr="005D3500" w:rsidRDefault="009D7965" w:rsidP="009D7965">
      <w:pPr>
        <w:spacing w:after="0" w:line="240" w:lineRule="auto"/>
        <w:ind w:hanging="862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tbl>
      <w:tblPr>
        <w:tblpPr w:leftFromText="180" w:rightFromText="180" w:vertAnchor="text" w:horzAnchor="margin" w:tblpXSpec="center" w:tblpY="4"/>
        <w:tblW w:w="9712" w:type="dxa"/>
        <w:tblCellMar>
          <w:left w:w="0" w:type="dxa"/>
          <w:right w:w="0" w:type="dxa"/>
        </w:tblCellMar>
        <w:tblLook w:val="04A0"/>
      </w:tblPr>
      <w:tblGrid>
        <w:gridCol w:w="2127"/>
        <w:gridCol w:w="4218"/>
        <w:gridCol w:w="3367"/>
      </w:tblGrid>
      <w:tr w:rsidR="009D7965" w:rsidRPr="005D3500" w:rsidTr="00BA5835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</w:p>
        </w:tc>
        <w:tc>
          <w:tcPr>
            <w:tcW w:w="42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Вигоди</w:t>
            </w:r>
          </w:p>
        </w:tc>
        <w:tc>
          <w:tcPr>
            <w:tcW w:w="33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D7965" w:rsidRPr="005D3500" w:rsidTr="00BA5835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C82379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BD32A3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1.Сплата податків і зборів залишиться на  рівні минулого року.</w:t>
            </w:r>
          </w:p>
          <w:p w:rsidR="009D7965" w:rsidRPr="00C82379" w:rsidRDefault="009D7965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2.Забезпечення  рівних прав  та можливостей  для  всіх суб’єктів господарювання.</w:t>
            </w:r>
          </w:p>
          <w:p w:rsidR="009D7965" w:rsidRPr="005D3500" w:rsidRDefault="009D7965" w:rsidP="00C57A3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3.Забезпечення суб’єктів господарювання законним правом здійснювати  підприємницьку діяльність.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5D3500" w:rsidRDefault="009D7965" w:rsidP="00C57A3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 Витрати, пов’язані з необхідністю ведення обліку, перерахуванням податків і зборів до бюджету і подання податкової звітності.</w:t>
            </w:r>
          </w:p>
        </w:tc>
      </w:tr>
      <w:tr w:rsidR="009D7965" w:rsidRPr="007C2977" w:rsidTr="00BA5835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C57A31">
            <w:pPr>
              <w:spacing w:after="0" w:line="2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1.Забезпечення  прозорості ставок місцевих податків і зборів.</w:t>
            </w:r>
          </w:p>
          <w:p w:rsidR="009D7965" w:rsidRPr="002F0221" w:rsidRDefault="009D7965" w:rsidP="00C57A31">
            <w:pPr>
              <w:spacing w:after="0" w:line="2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2.Забезпечення</w:t>
            </w:r>
            <w:r w:rsidR="00F90A1B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 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суб’єктів господарювання  законним  правом </w:t>
            </w:r>
            <w:r w:rsidR="00F90A1B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володіння нерухомим майном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</w:t>
            </w:r>
          </w:p>
          <w:p w:rsidR="009D7965" w:rsidRPr="002F0221" w:rsidRDefault="009D7965" w:rsidP="00F90A1B">
            <w:pPr>
              <w:spacing w:after="0" w:line="28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3.Забезпечення  рівних  прав та  можливостей для всіх</w:t>
            </w:r>
            <w:r w:rsidR="00F90A1B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суб’єктів господарювання</w:t>
            </w:r>
            <w:r w:rsidR="00BA5835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( юридичних  і фізичних осіб - підприємців).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965" w:rsidRPr="002F0221" w:rsidRDefault="009D7965" w:rsidP="00BA5835">
            <w:pPr>
              <w:spacing w:after="0" w:line="240" w:lineRule="auto"/>
              <w:ind w:left="-1" w:firstLine="1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 xml:space="preserve">1. Сплата податків і зборів </w:t>
            </w:r>
            <w:r w:rsidR="007C5A45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  ставками</w:t>
            </w:r>
            <w:r w:rsidR="007A4076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, що будуть  затверджені </w:t>
            </w:r>
            <w:r w:rsidR="000B4602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селищною </w:t>
            </w:r>
            <w:r w:rsidR="007A4076"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радою.</w:t>
            </w:r>
          </w:p>
          <w:p w:rsidR="009D7965" w:rsidRPr="002F0221" w:rsidRDefault="009D7965" w:rsidP="00C57A31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2F0221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2.Витрати, пов’язані з необхідністю ведення обліку, перерахуванням податків і зборів до бюджету і подання  податкової звітності</w:t>
            </w:r>
          </w:p>
        </w:tc>
      </w:tr>
    </w:tbl>
    <w:p w:rsidR="009D7965" w:rsidRPr="00D56551" w:rsidRDefault="009D7965" w:rsidP="009D7965">
      <w:pPr>
        <w:spacing w:after="0" w:line="240" w:lineRule="auto"/>
        <w:ind w:hanging="862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 </w:t>
      </w:r>
    </w:p>
    <w:p w:rsidR="003304ED" w:rsidRPr="00BA5835" w:rsidRDefault="009D7965" w:rsidP="00BA58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A583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="003304ED" w:rsidRPr="00BA5835">
        <w:rPr>
          <w:rFonts w:ascii="Times New Roman" w:hAnsi="Times New Roman" w:cs="Times New Roman"/>
          <w:sz w:val="26"/>
          <w:szCs w:val="26"/>
          <w:lang w:val="uk-UA"/>
        </w:rPr>
        <w:t xml:space="preserve">Таким чином,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Альтернативи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вирішення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даної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проблеми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немає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оскільки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Податкового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кодексу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органи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самостійно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встановлюють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визначають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порядок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сплати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>податку на нерухоме майно</w:t>
      </w:r>
      <w:r w:rsidR="00F90A1B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в межах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установлених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граничних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розмірів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ставок. У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встановлення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304ED" w:rsidRPr="00BA583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3304ED" w:rsidRPr="00BA5835">
        <w:rPr>
          <w:rFonts w:ascii="Times New Roman" w:hAnsi="Times New Roman" w:cs="Times New Roman"/>
          <w:sz w:val="26"/>
          <w:szCs w:val="26"/>
        </w:rPr>
        <w:t>ішенням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ставок 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>податку на нерухоме майно</w:t>
      </w:r>
      <w:r w:rsidR="003304ED" w:rsidRPr="00BA583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такий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податок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сплачується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платниками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у порядку,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встановленому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Кодексом.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Неприйняття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304ED" w:rsidRPr="00BA583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3304ED" w:rsidRPr="00BA5835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«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</w:t>
      </w:r>
      <w:r w:rsidR="005476EA">
        <w:rPr>
          <w:rFonts w:ascii="Times New Roman" w:hAnsi="Times New Roman" w:cs="Times New Roman"/>
          <w:bCs/>
          <w:sz w:val="26"/>
          <w:szCs w:val="26"/>
          <w:lang w:val="uk-UA"/>
        </w:rPr>
        <w:t>встановлення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ставок </w:t>
      </w:r>
      <w:r w:rsidR="005476E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та пільг зі сплати 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>податку на нерухоме майно, відмін</w:t>
      </w:r>
      <w:r w:rsidR="00D05C14">
        <w:rPr>
          <w:rFonts w:ascii="Times New Roman" w:hAnsi="Times New Roman" w:cs="Times New Roman"/>
          <w:bCs/>
          <w:sz w:val="26"/>
          <w:szCs w:val="26"/>
          <w:lang w:val="uk-UA"/>
        </w:rPr>
        <w:t>не від земельної ділянки на 202</w:t>
      </w:r>
      <w:r w:rsidR="008756D9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F90A1B" w:rsidRPr="00F90A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="003304ED" w:rsidRPr="00BA5835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спричинить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значні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втрати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дохідної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304ED" w:rsidRPr="00BA5835">
        <w:rPr>
          <w:rFonts w:ascii="Times New Roman" w:hAnsi="Times New Roman" w:cs="Times New Roman"/>
          <w:sz w:val="26"/>
          <w:szCs w:val="26"/>
        </w:rPr>
        <w:t>селищного</w:t>
      </w:r>
      <w:proofErr w:type="spellEnd"/>
      <w:r w:rsidR="003304ED" w:rsidRPr="00BA5835">
        <w:rPr>
          <w:rFonts w:ascii="Times New Roman" w:hAnsi="Times New Roman" w:cs="Times New Roman"/>
          <w:sz w:val="26"/>
          <w:szCs w:val="26"/>
        </w:rPr>
        <w:t xml:space="preserve"> бюджету.</w:t>
      </w:r>
    </w:p>
    <w:p w:rsidR="009D7965" w:rsidRPr="00BA5835" w:rsidRDefault="009D7965" w:rsidP="00BA5835">
      <w:pPr>
        <w:spacing w:after="0" w:line="281" w:lineRule="atLeast"/>
        <w:ind w:firstLine="567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</w:p>
    <w:p w:rsidR="008756D9" w:rsidRDefault="00584672" w:rsidP="008756D9">
      <w:pPr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4. Вибір найбільш оптимального альтернативного способу досягнення цілей.</w:t>
      </w:r>
    </w:p>
    <w:p w:rsidR="00584672" w:rsidRPr="005D3500" w:rsidRDefault="00584672" w:rsidP="008756D9">
      <w:pPr>
        <w:ind w:firstLine="567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  визначення  оптимального альтернативного способу з урахуванням  системи бальної оцінки ступеня досягнення  визначених цілей.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Вартість балів визначається за чотирибальною системою оцінки ступеня  досягнення  визначених цілей, де: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4 - цілі прийняття  регуляторного акта, які  можуть  бути досягнуті повною мірою ( проблема більше  існувати не буде);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 – цілі прийняття  регуляторного акта, які  можуть бути досягнуті майже повною мірою ( усі важливі  аспекти проблеми існувати не будуть);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 – цілі прийняття  регуляторного акта, які  можут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 бути досягнуті частково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значно зменшиться, деякі важливі та критичні аспекти проблеми залишаться невирішеними);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1-     </w:t>
      </w:r>
      <w:r w:rsidRPr="005D3500">
        <w:rPr>
          <w:rFonts w:ascii="Times New Roman" w:eastAsia="Times New Roman" w:hAnsi="Times New Roman" w:cs="Times New Roman"/>
          <w:sz w:val="26"/>
          <w:lang w:val="uk-UA" w:eastAsia="ru-RU"/>
        </w:rPr>
        <w:t> 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цілі прийняття регуляторного акта, я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кі  не можуть бути досягнуті  (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проблема продовжує існувати).</w:t>
      </w:r>
    </w:p>
    <w:p w:rsidR="00584672" w:rsidRDefault="00584672" w:rsidP="005846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A4DDE" w:rsidRPr="005D3500" w:rsidRDefault="00DA4DDE" w:rsidP="00584672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269"/>
        <w:gridCol w:w="2693"/>
        <w:gridCol w:w="4643"/>
      </w:tblGrid>
      <w:tr w:rsidR="00584672" w:rsidRPr="005D3500" w:rsidTr="00C57A31"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  результативно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сті (</w:t>
            </w: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досягнення цілей під час вирішення проблеми)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 результативності</w:t>
            </w:r>
          </w:p>
        </w:tc>
        <w:tc>
          <w:tcPr>
            <w:tcW w:w="4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Коментарі щодо присвоєння відповідного  бала</w:t>
            </w:r>
          </w:p>
        </w:tc>
      </w:tr>
      <w:tr w:rsidR="00584672" w:rsidRPr="005D3500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C57A31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F90A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Прийняття  рішення  відповідає вимогам чинного законодавства, дає змоги привести у відповідальність ставки по місцевим  податкам і зборам, залучає додаткові надходження  до бюджету. Встановлюється можливість прозорого врегулювання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відносин в сфері сплати податку</w:t>
            </w:r>
            <w:r w:rsidR="00F90A1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на нерухоме </w:t>
            </w:r>
            <w:r w:rsidR="00F90A1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майно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. Встановлення  рівних  прав та обов’язків для всіх</w:t>
            </w:r>
            <w:r w:rsidR="00F90A1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суб’єктів  господарювання.</w:t>
            </w:r>
          </w:p>
        </w:tc>
      </w:tr>
      <w:tr w:rsidR="00584672" w:rsidRPr="005D3500" w:rsidTr="00C57A31">
        <w:tc>
          <w:tcPr>
            <w:tcW w:w="2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lastRenderedPageBreak/>
              <w:t>Альтернатива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Не прийняття  відповідного регуляторного акту призведе до недоотримання  </w:t>
            </w:r>
            <w:r w:rsidRPr="007C5A4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доходів</w:t>
            </w:r>
            <w:r w:rsidR="007C5A4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7C5A45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бюджетом.</w:t>
            </w:r>
          </w:p>
        </w:tc>
      </w:tr>
    </w:tbl>
    <w:p w:rsidR="00584672" w:rsidRPr="005D3500" w:rsidRDefault="00584672" w:rsidP="00584672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  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265"/>
        <w:gridCol w:w="3083"/>
        <w:gridCol w:w="2201"/>
        <w:gridCol w:w="2197"/>
      </w:tblGrid>
      <w:tr w:rsidR="00584672" w:rsidRPr="005D3500" w:rsidTr="00C57A31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 результативності</w:t>
            </w:r>
          </w:p>
        </w:tc>
        <w:tc>
          <w:tcPr>
            <w:tcW w:w="3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Вимоги ( підсумок)</w:t>
            </w:r>
          </w:p>
        </w:tc>
        <w:tc>
          <w:tcPr>
            <w:tcW w:w="2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Витрати </w:t>
            </w:r>
          </w:p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( підсумок)</w:t>
            </w:r>
          </w:p>
        </w:tc>
        <w:tc>
          <w:tcPr>
            <w:tcW w:w="2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proofErr w:type="spellStart"/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Обгрунтування</w:t>
            </w:r>
            <w:proofErr w:type="spellEnd"/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відповідного місця альтернативи у рейтингу</w:t>
            </w:r>
          </w:p>
        </w:tc>
      </w:tr>
      <w:tr w:rsidR="00584672" w:rsidRPr="005D3500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2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Від прийняття регуляторного акту залежить  зміцнення фінансової бази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селищного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бюджету, отримання додаткових надходжень, збільшення фінансування соціальної сфери, забезпечення  прозорості ставок по місцевим податкам і зборам  забезпечення  рівних прав та  можливостей для всіх</w:t>
            </w:r>
            <w:r w:rsidR="00F90A1B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суб’єктів господарювання.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Витрати, пов’язані з прийняттям, оприлюдненням  та  популяризацією  регуляторного акту, сплата податків і зборів за  ставками, що будуть затверджені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селищною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 радою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AF64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Проблема, яку передбачається розв’язати  з прийняттям цього рішення, полягає у вдосконаленні ставок по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сплаті єдиного податку та виконання вимог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чинного законодавства</w:t>
            </w:r>
          </w:p>
        </w:tc>
      </w:tr>
      <w:tr w:rsidR="00584672" w:rsidRPr="005D3500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FC2C94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Сплата податків і зборів за ставками рішення 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прийнятого  в 201</w:t>
            </w:r>
            <w:r w:rsidR="00FC2C9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9</w:t>
            </w:r>
            <w:r w:rsidRPr="00C8237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році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2627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Недоотримання надходжень до бюджету, фінансування бюджетної  сфери </w:t>
            </w:r>
            <w:r w:rsidR="002627CE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селищної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ради залишиться на  тому ж рівні. Витрати, пов’язані з  необхідністю ведення  обліку, перерахуванням  податків  та зборів до  бюджету і подання  податкової звітності.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F91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Ставки 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податку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на нерухомість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не приведенні у відповідність</w:t>
            </w:r>
          </w:p>
        </w:tc>
      </w:tr>
    </w:tbl>
    <w:p w:rsidR="007C5A45" w:rsidRDefault="007C5A45" w:rsidP="00584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C5A45" w:rsidRDefault="007C5A45" w:rsidP="00584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C5A45" w:rsidRDefault="007C5A45" w:rsidP="00584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84672" w:rsidRDefault="00584672" w:rsidP="005846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BD32A3" w:rsidRPr="005D3500" w:rsidRDefault="00BD32A3" w:rsidP="00584672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1985"/>
        <w:gridCol w:w="3194"/>
        <w:gridCol w:w="4426"/>
      </w:tblGrid>
      <w:tr w:rsidR="00584672" w:rsidRPr="005D3500" w:rsidTr="00C57A31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Рейтинг  </w:t>
            </w:r>
          </w:p>
        </w:tc>
        <w:tc>
          <w:tcPr>
            <w:tcW w:w="3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F91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Аргументи щодо переваги обраної альтернативи/ причини відмови від альтернативи)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F91C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Оцінка ризику зовнішніх чинників  на  дію запропонованого регуляторного акта</w:t>
            </w:r>
          </w:p>
        </w:tc>
      </w:tr>
      <w:tr w:rsidR="00584672" w:rsidRPr="007C2977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  2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Вдосконалення ставок по місцевим податкам і зборам згідно норм чинного законодавства, збільшення  надходження  до селищного бюджету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AF649D" w:rsidRDefault="00584672" w:rsidP="00F91C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val="uk-UA"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Приведення регуляторного акта  у відповідність до чинного законодавства в ра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зі скасування або зміни  ставок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податку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, можуть мати як позитивний  так і  негативний характер. Також негативний вплив  може  мати  економічна  криза  в країні та  значні темпи інфл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яції. Ці фактори  призведуть до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зниження платоспроможності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громадян та  суб’єктів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підприємницької</w:t>
            </w:r>
            <w:r w:rsidR="00F91C82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діяльності, що в  подальшому призведе до великих заборгованостей. Позитивно може  вплинути на дію регуляторного  акта стабілізація економічної ситуації зниження  соціальної  напруженості в суспільстві. В результаті  збільшення дохідної частини бюджету підвищиться  рівень соціального забезпечення  окремих категорій громадян і всього населення </w:t>
            </w:r>
            <w:r w:rsidR="00AF649D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об’єднаної територіальної громади </w:t>
            </w: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в  цілому.</w:t>
            </w:r>
          </w:p>
        </w:tc>
      </w:tr>
      <w:tr w:rsidR="00584672" w:rsidRPr="005D3500" w:rsidTr="00C57A31">
        <w:tc>
          <w:tcPr>
            <w:tcW w:w="1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81" w:lineRule="atLeast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Альтернатива 1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Недоотримання  надходжень до бюджету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672" w:rsidRPr="005D3500" w:rsidRDefault="00584672" w:rsidP="00C57A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5D3500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Х</w:t>
            </w:r>
          </w:p>
        </w:tc>
      </w:tr>
    </w:tbl>
    <w:p w:rsidR="00584672" w:rsidRPr="008F6766" w:rsidRDefault="00584672" w:rsidP="008F676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8F6766" w:rsidRPr="008F6766" w:rsidRDefault="008F6766" w:rsidP="008F67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8F676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Оцінивши зазначені способи, перевага була віддана другому способу, оскільки у цьому </w:t>
      </w:r>
      <w:r w:rsidR="00B90223" w:rsidRPr="00B9022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випадку буд</w:t>
      </w:r>
      <w:r w:rsidR="00B90223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е забезпечено виконання чинного податкового законодавства</w:t>
      </w:r>
      <w:r w:rsidRPr="008F676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8F6766" w:rsidRPr="008F6766" w:rsidRDefault="008F6766" w:rsidP="008F67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8F676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Прийняття запропонованого регуляторного акта дасть можливість</w:t>
      </w:r>
      <w:r w:rsidR="00F91C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8F676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територіальній громаді  зміцнювати місцевий бюджет за рахунок збільшення надходжень від сплати місцевих податків та зборів.</w:t>
      </w:r>
    </w:p>
    <w:p w:rsidR="00584672" w:rsidRPr="008F6766" w:rsidRDefault="00584672" w:rsidP="008F676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Виконання  вимог даного регуляторного акта не потребує  додаткових витрат і коштів </w:t>
      </w:r>
      <w:r w:rsidR="00AF64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бюджету, лише потрібні витрати на інформування</w:t>
      </w:r>
      <w:r w:rsidR="00F91C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громадян та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суб’єктів підприємницької діяльності про зміну ставок по місцевим податкам і зборам.</w:t>
      </w:r>
    </w:p>
    <w:p w:rsidR="008F6766" w:rsidRDefault="008F6766" w:rsidP="005846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84672" w:rsidRPr="005D3500" w:rsidRDefault="00584672" w:rsidP="00584672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5.     Механізми та  заходи, які забезпечать розв’язання визначеної  проблеми.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Згідно статті 12 Податкового кодексу  України до повноважень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 ради   належить  прийняття рішення  про встановлення місцевих податків та зборів.</w:t>
      </w:r>
    </w:p>
    <w:p w:rsidR="00584672" w:rsidRPr="005D3500" w:rsidRDefault="00584672" w:rsidP="00F91C82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Пропонується прийняти рішення </w:t>
      </w:r>
      <w:r w:rsidR="00D565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Семенівської селищної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 «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  Семенівської селищної ради </w:t>
      </w:r>
      <w:proofErr w:type="spellStart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>Семенівського</w:t>
      </w:r>
      <w:proofErr w:type="spellEnd"/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району  </w:t>
      </w:r>
      <w:r w:rsidR="00320128">
        <w:rPr>
          <w:rFonts w:ascii="Times New Roman" w:hAnsi="Times New Roman" w:cs="Times New Roman"/>
          <w:bCs/>
          <w:sz w:val="26"/>
          <w:szCs w:val="26"/>
          <w:lang w:val="uk-UA"/>
        </w:rPr>
        <w:lastRenderedPageBreak/>
        <w:t>Полтавської області на 202</w:t>
      </w:r>
      <w:r w:rsidR="008756D9"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="0098238C" w:rsidRPr="009823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рік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 для  врегулювання питання ставок місцевих податків і зборів. 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Механізм дії регуляторного акту полягає у забезпеченні :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F91C8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затвердження рішення  про ставки місцевих податків і зборів;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7C5A4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нформування платників про встановлення ставки справляння податків і зборів 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сприяння веденню підприємницької  діяльності суб’єктів господарювання, які є платниками місцевих податків і зборів;</w:t>
      </w:r>
    </w:p>
    <w:p w:rsidR="00584672" w:rsidRPr="005D3500" w:rsidRDefault="00584672" w:rsidP="005846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забезпечення  надходжень встановлених податків і зборів до </w:t>
      </w:r>
      <w:r w:rsidR="00AF649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селищного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бюджету 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Запропонований спосіб досягнення цілей є єдиним і безумовним шляхом  вирішення проблеми і ґрунтується  на загальнообов’язковості оподаткування  норм зазначеного рішення  та відповідає принципу державної регуляторної</w:t>
      </w:r>
      <w:r w:rsidR="00B902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політики. А саме : доцільність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адекватність, ефективність, збалансованість, передбачуваність, принципу прозорості та врахування громадської думки  та  пропозицій суб’єктів підприємницької діяльності.</w:t>
      </w:r>
    </w:p>
    <w:p w:rsidR="00584672" w:rsidRPr="005D3500" w:rsidRDefault="00584672" w:rsidP="0058467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</w:p>
    <w:p w:rsidR="008F6766" w:rsidRPr="009C53AC" w:rsidRDefault="00584672" w:rsidP="008F6766">
      <w:pPr>
        <w:spacing w:after="0" w:line="281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6.</w:t>
      </w:r>
      <w:r w:rsidR="008F6766" w:rsidRPr="009C53AC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 </w:t>
      </w:r>
      <w:r w:rsidR="008F6766"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можливості досягнення встановлених цілей у разі  прийняття запропонованого регуляторного акта:</w:t>
      </w:r>
    </w:p>
    <w:p w:rsidR="008F6766" w:rsidRPr="009C53AC" w:rsidRDefault="008F6766" w:rsidP="008F67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Передбачається, що об'єкти – платники  місцевих податків та зборів будуть неухильно виконувати вимоги запропонованого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кту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рішення, тобто в повному обсязі та своєчасно вносити податкові платежі, оскільки вартість виконання цих вимог нижча, ніж вартість ухилення від виконання таких вимог.</w:t>
      </w:r>
    </w:p>
    <w:p w:rsidR="008F6766" w:rsidRPr="009C53AC" w:rsidRDefault="008F6766" w:rsidP="008F67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Вигоди від виконання зазначених вимог будуть відчуватися як об'єктами – платниками  місцевих податків та зборів, так і територіальною громадою в цілому. Збільшення доходної частини бюджету призведе до підвищення рівня соціального забезпечення як окремих категорій громадян, так і економічного розвитку </w:t>
      </w:r>
      <w:r w:rsidR="002627C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Семенівської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 </w:t>
      </w:r>
      <w:r w:rsidR="00AF649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об’єднаної територіальної громади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в цілому.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7. Обґрунтування, що  досягнення запропонованим регуляторним актом встановлених цілей є можливим з найменшими витратами для об'єктів – платників  місцевих податків та зборів, громадян та держави:</w:t>
      </w:r>
    </w:p>
    <w:p w:rsidR="009C53AC" w:rsidRDefault="009C53AC" w:rsidP="00F91C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Прийняття рішення про місцеві податки та збори, буде сприяти виведенню платників із тіньо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вого бізнесу до правового русла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 економічному розвитку сіл, зміцненню місцевого бюджету.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8. Обґрунтування, щодо  вигоди/ витрати,  що виникатимуть внаслідок дії запропонованого регуляторного акта, виправдовують витрати у випадку, якщо витрати та / або вигоди не можуть бути кількісно визначені:</w:t>
      </w:r>
    </w:p>
    <w:tbl>
      <w:tblPr>
        <w:tblW w:w="970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68"/>
        <w:gridCol w:w="3642"/>
        <w:gridCol w:w="2995"/>
      </w:tblGrid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Сфери впливу</w:t>
            </w:r>
          </w:p>
        </w:tc>
        <w:tc>
          <w:tcPr>
            <w:tcW w:w="4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Вигоди</w:t>
            </w:r>
          </w:p>
        </w:tc>
        <w:tc>
          <w:tcPr>
            <w:tcW w:w="3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Витрати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Влада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7C5A45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З</w:t>
            </w:r>
            <w:r w:rsidR="009C53AC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більшення надходжень до місцевого бюджету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Процедура прийняття регуляторного акту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0F4C3B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О</w:t>
            </w:r>
            <w:r w:rsidR="009C53AC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б'єкти – платники  місцевих податків та зборів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Прозорість встановлених податків і зборів, можливість обирати різні види підприємницької діяльності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8756D9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r w:rsidR="009C53AC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плата місцевих податків та зборів</w:t>
            </w:r>
          </w:p>
        </w:tc>
      </w:tr>
      <w:tr w:rsidR="009C53AC" w:rsidRPr="009C53AC" w:rsidTr="00C57A31">
        <w:trPr>
          <w:tblCellSpacing w:w="0" w:type="dxa"/>
        </w:trPr>
        <w:tc>
          <w:tcPr>
            <w:tcW w:w="3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Громадяни</w:t>
            </w:r>
          </w:p>
        </w:tc>
        <w:tc>
          <w:tcPr>
            <w:tcW w:w="4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C57A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Збільшення надходжень до місцевого бюджету, які будуть направлені на вирішення соціально – економічних питань громади 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3AC" w:rsidRPr="009C53AC" w:rsidRDefault="009C53AC" w:rsidP="008756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 </w:t>
            </w:r>
            <w:r w:rsidR="008756D9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</w:t>
            </w:r>
            <w:r w:rsidR="00F91C82" w:rsidRPr="009C53AC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плата місцевих податків та зборів</w:t>
            </w:r>
          </w:p>
        </w:tc>
      </w:tr>
    </w:tbl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 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9. Оцінка можливості  впровадження та виконання вимог регуляторного акта в залежності від ресурсів,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якими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розпоряджаються органи місцевого самоврядування, фізичні та юридичні особи, які повинні впроваджувати або виконувати ці вимоги: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Впровадження та виконання вимог регуляторного акта не залежить від ресурсів </w:t>
      </w:r>
      <w:r w:rsidR="00F91C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Семенівської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ради, а об’єкти – платники місцевих податків та зборів повинні сплачувати місцеві податки та збори у розмірах, передбачених цим проектом рішення.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Впровадження та виконання вимог проекту рішення забезпечується наступними ресурсами: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частиною 24 пункту 1 статті 26 "Закону України  "Про місцеве самоврядування в Україні"</w:t>
      </w:r>
    </w:p>
    <w:p w:rsidR="009C53AC" w:rsidRPr="009C53AC" w:rsidRDefault="009C53AC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іншим податковим законодавством.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Оскільки цей акт носить адміністративний характер та законом встановлено відповідальність фізичних та юридичних осіб за порушення законодавства в цій сфері, то цілі, що обумовили розробку цього акта, мають бути повністю досягнуті.</w:t>
      </w:r>
    </w:p>
    <w:p w:rsidR="00C57A31" w:rsidRDefault="00C57A31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0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Оцінка ризику впливу зовнішніх чинників на дію запропонованого регуляторного акта: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Найбільш значним зовнішнім фактором є зміни чинного законодавства України, що може призвести до неможливості  місцевим податкам та зборам залишення без змін.</w:t>
      </w:r>
    </w:p>
    <w:p w:rsidR="00C57A31" w:rsidRDefault="00C57A31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Обґрунтування запропонованого строку чинності регуляторного акта:</w:t>
      </w:r>
    </w:p>
    <w:p w:rsidR="009C53AC" w:rsidRPr="005D3500" w:rsidRDefault="009C53AC" w:rsidP="009C53AC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Запропонований регуляторний акт є строковим. Строк дії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вказаного рішення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 календарний рік. Зазначений </w:t>
      </w:r>
      <w:proofErr w:type="spellStart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є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</w:t>
      </w:r>
      <w:proofErr w:type="spellEnd"/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  нормативно-правового акту є загальнообов’язковим до застосування  на території  </w:t>
      </w:r>
      <w:r w:rsidR="00D565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Семенівської селищної </w:t>
      </w: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ради..</w:t>
      </w:r>
    </w:p>
    <w:p w:rsidR="009C53AC" w:rsidRPr="005D3500" w:rsidRDefault="009C53AC" w:rsidP="009C53AC">
      <w:pPr>
        <w:spacing w:after="0" w:line="281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5D35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У разі внесення змін до Податкового кодексу України в частині справляння місцевих податків та зборів  відповідні зміни будуть внесені до цього регуляторного акта.</w:t>
      </w:r>
    </w:p>
    <w:p w:rsidR="009C53AC" w:rsidRDefault="009C53AC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2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.  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показників результативності регуляторного акта:</w:t>
      </w:r>
    </w:p>
    <w:p w:rsidR="007C5A45" w:rsidRPr="009C53AC" w:rsidRDefault="007C5A45" w:rsidP="009C53A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Пропонується використати наступні показники результативності: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розмір надходжень до місцевого бюджету, пов'язаних з дією акта – в цілому на протязі року;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кількість об’єктів – платників місцевих податків та зборів, на яких поширюється дія запропонованого акта.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рівень поінформованості об’єктів – платників місцевих податків та зборів, які: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а) можуть ознайомитися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 </w:t>
      </w:r>
      <w:proofErr w:type="spellStart"/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про</w:t>
      </w:r>
      <w:r w:rsidR="008756D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ктом</w:t>
      </w:r>
      <w:proofErr w:type="spellEnd"/>
      <w:r w:rsid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 рішення на офіційному сайті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б) отримають регуляторний акт за запитом до органу місцевого самоврядування;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в) отримають регуляторний акт або інформацію щодо основних його положень іншими шляхами.</w:t>
      </w:r>
    </w:p>
    <w:p w:rsidR="009C53AC" w:rsidRP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Передбачається середній рівень поінформованості об’єктів – платників місцевих податків та зборів з основних положень акта за рахунок розміщення повідомлення про оприлюднення та самого про</w:t>
      </w:r>
      <w:r w:rsidR="008756D9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є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кту рішення </w:t>
      </w:r>
      <w:r w:rsidR="00D5655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Семенівської селищної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Окрім цього, після прийняття цього рішення його буде офіційно </w:t>
      </w:r>
      <w:proofErr w:type="spellStart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оприлюднено</w:t>
      </w:r>
      <w:proofErr w:type="spellEnd"/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згідно вимог Закону України «Про засади державної регуляторної політики у сфері господарської діяльності»;</w:t>
      </w:r>
    </w:p>
    <w:p w:rsidR="009C53AC" w:rsidRDefault="009C53AC" w:rsidP="009C53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- розмір коштів і час, що витрачатимуться об’єктами – платниками місцевих податків та зборів, пов'язаних з виконанням вимог акта – запровадження цього регуляторного акта не впливає на розмір коштів і час, що витрачається об’єктами – платниками місцевих податків та зборів, пов'язаних з виконанням вимог акта.</w:t>
      </w:r>
    </w:p>
    <w:p w:rsidR="00C57A31" w:rsidRDefault="00C57A31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Default="009C53AC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1</w:t>
      </w:r>
      <w:r w:rsidR="00094CB9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3</w:t>
      </w:r>
      <w:r w:rsidRPr="009C53AC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.   </w:t>
      </w:r>
      <w:r w:rsidRPr="009C53AC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val="uk-UA" w:eastAsia="ru-RU"/>
        </w:rPr>
        <w:t>Визначення заходів, за допомогою яких буде здійснюватись відстеження результативності регуляторного акта в разі його прийняття:</w:t>
      </w:r>
    </w:p>
    <w:p w:rsidR="007C5A45" w:rsidRPr="009C53AC" w:rsidRDefault="007C5A45" w:rsidP="009C53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:rsidR="009C53AC" w:rsidRPr="009C53AC" w:rsidRDefault="009C53AC" w:rsidP="00C823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Для здійснення відстеження результативності регуляторного акту планується використання лише статистичних </w:t>
      </w:r>
      <w:r w:rsidRPr="00356A9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показників. </w:t>
      </w:r>
      <w:r w:rsidR="00356A92" w:rsidRPr="00D837CD">
        <w:rPr>
          <w:rFonts w:ascii="Times New Roman" w:hAnsi="Times New Roman" w:cs="Times New Roman"/>
          <w:sz w:val="26"/>
          <w:szCs w:val="26"/>
          <w:lang w:val="uk-UA"/>
        </w:rPr>
        <w:t xml:space="preserve">Для відстеження результативності буде застосовано аналіз даних бюджетної та податкової звітності, аналіз динаміки кількості платників </w:t>
      </w:r>
      <w:r w:rsidR="00FC2C94">
        <w:rPr>
          <w:rFonts w:ascii="Times New Roman" w:hAnsi="Times New Roman" w:cs="Times New Roman"/>
          <w:sz w:val="26"/>
          <w:szCs w:val="26"/>
          <w:lang w:val="uk-UA"/>
        </w:rPr>
        <w:t>податку на нерухоме майно відмінне від земельної ділянки</w:t>
      </w:r>
      <w:r w:rsidR="00356A92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9C53AC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Здійснення повторного відстеження результативності регуляторного акту буде проведено не раніше ніж через рік після набрання ним чинності.</w:t>
      </w:r>
    </w:p>
    <w:p w:rsidR="00532B42" w:rsidRDefault="00532B42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F91C82" w:rsidRPr="00386D32" w:rsidRDefault="00F91C82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320128" w:rsidRPr="00386D32" w:rsidRDefault="00320128" w:rsidP="009C5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386D32" w:rsidRPr="00386D32" w:rsidRDefault="00386D32" w:rsidP="00386D32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86D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Селищний голова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Pr="00386D3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Л.П.  </w:t>
      </w:r>
      <w:proofErr w:type="spellStart"/>
      <w:r w:rsidRPr="00386D32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Милашевич</w:t>
      </w:r>
      <w:proofErr w:type="spellEnd"/>
    </w:p>
    <w:p w:rsidR="00485679" w:rsidRDefault="00F91C82" w:rsidP="00F91C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F91C8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3A5BAD" w:rsidRPr="00F91C82" w:rsidRDefault="003A5BAD" w:rsidP="00F91C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3A5BAD" w:rsidRPr="00F91C82" w:rsidSect="00DA4DDE">
      <w:pgSz w:w="11906" w:h="16838"/>
      <w:pgMar w:top="709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94A"/>
    <w:multiLevelType w:val="multilevel"/>
    <w:tmpl w:val="AA1C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3758"/>
    <w:rsid w:val="000268BD"/>
    <w:rsid w:val="00094CB9"/>
    <w:rsid w:val="00095C0F"/>
    <w:rsid w:val="000B4602"/>
    <w:rsid w:val="000C468F"/>
    <w:rsid w:val="000F4C3B"/>
    <w:rsid w:val="00101280"/>
    <w:rsid w:val="00104A6B"/>
    <w:rsid w:val="001156D0"/>
    <w:rsid w:val="00117D6A"/>
    <w:rsid w:val="00164ED4"/>
    <w:rsid w:val="001944F8"/>
    <w:rsid w:val="001F574E"/>
    <w:rsid w:val="002036EA"/>
    <w:rsid w:val="002627CE"/>
    <w:rsid w:val="00271D28"/>
    <w:rsid w:val="00287D01"/>
    <w:rsid w:val="002C3BA4"/>
    <w:rsid w:val="002D2A53"/>
    <w:rsid w:val="002F0221"/>
    <w:rsid w:val="00301C2A"/>
    <w:rsid w:val="00320128"/>
    <w:rsid w:val="003304ED"/>
    <w:rsid w:val="003434CD"/>
    <w:rsid w:val="00356A92"/>
    <w:rsid w:val="00386D32"/>
    <w:rsid w:val="003A5BAD"/>
    <w:rsid w:val="003B725B"/>
    <w:rsid w:val="003D0921"/>
    <w:rsid w:val="00485679"/>
    <w:rsid w:val="0049712A"/>
    <w:rsid w:val="004A21F6"/>
    <w:rsid w:val="00511FE6"/>
    <w:rsid w:val="00532B42"/>
    <w:rsid w:val="005476EA"/>
    <w:rsid w:val="005538D7"/>
    <w:rsid w:val="00554793"/>
    <w:rsid w:val="00563F7C"/>
    <w:rsid w:val="00584672"/>
    <w:rsid w:val="00587F16"/>
    <w:rsid w:val="005E10DC"/>
    <w:rsid w:val="006A28CC"/>
    <w:rsid w:val="006F052C"/>
    <w:rsid w:val="007827E8"/>
    <w:rsid w:val="007A4076"/>
    <w:rsid w:val="007B73B0"/>
    <w:rsid w:val="007C2977"/>
    <w:rsid w:val="007C5A45"/>
    <w:rsid w:val="007E3587"/>
    <w:rsid w:val="007F3758"/>
    <w:rsid w:val="00831006"/>
    <w:rsid w:val="00832DF8"/>
    <w:rsid w:val="0084237E"/>
    <w:rsid w:val="008756D9"/>
    <w:rsid w:val="008B5D24"/>
    <w:rsid w:val="008F6359"/>
    <w:rsid w:val="008F6766"/>
    <w:rsid w:val="0098238C"/>
    <w:rsid w:val="00982DF9"/>
    <w:rsid w:val="009A2D52"/>
    <w:rsid w:val="009C1645"/>
    <w:rsid w:val="009C53AC"/>
    <w:rsid w:val="009D7965"/>
    <w:rsid w:val="00A2703A"/>
    <w:rsid w:val="00A64ACF"/>
    <w:rsid w:val="00AF649D"/>
    <w:rsid w:val="00B17BC0"/>
    <w:rsid w:val="00B4072E"/>
    <w:rsid w:val="00B51F01"/>
    <w:rsid w:val="00B712A2"/>
    <w:rsid w:val="00B90223"/>
    <w:rsid w:val="00BA5835"/>
    <w:rsid w:val="00BD32A3"/>
    <w:rsid w:val="00BE1FED"/>
    <w:rsid w:val="00C57A31"/>
    <w:rsid w:val="00C82379"/>
    <w:rsid w:val="00CD55E1"/>
    <w:rsid w:val="00D05C14"/>
    <w:rsid w:val="00D26824"/>
    <w:rsid w:val="00D35BAC"/>
    <w:rsid w:val="00D433EB"/>
    <w:rsid w:val="00D4609F"/>
    <w:rsid w:val="00D56551"/>
    <w:rsid w:val="00D61F8E"/>
    <w:rsid w:val="00D837CD"/>
    <w:rsid w:val="00D861A4"/>
    <w:rsid w:val="00DA4DDE"/>
    <w:rsid w:val="00DC4781"/>
    <w:rsid w:val="00DE7B7C"/>
    <w:rsid w:val="00E53984"/>
    <w:rsid w:val="00EC0A3E"/>
    <w:rsid w:val="00F23152"/>
    <w:rsid w:val="00F30D23"/>
    <w:rsid w:val="00F90A1B"/>
    <w:rsid w:val="00F91C82"/>
    <w:rsid w:val="00FB5349"/>
    <w:rsid w:val="00FC2C94"/>
    <w:rsid w:val="00FE2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758"/>
  </w:style>
  <w:style w:type="paragraph" w:styleId="3">
    <w:name w:val="heading 3"/>
    <w:basedOn w:val="a"/>
    <w:link w:val="30"/>
    <w:qFormat/>
    <w:rsid w:val="005547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C0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7A31"/>
    <w:rPr>
      <w:color w:val="0000FF"/>
      <w:u w:val="single"/>
    </w:rPr>
  </w:style>
  <w:style w:type="paragraph" w:styleId="a4">
    <w:name w:val="Normal (Web)"/>
    <w:basedOn w:val="a"/>
    <w:link w:val="a5"/>
    <w:rsid w:val="003D0921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Обычный (веб) Знак"/>
    <w:link w:val="a4"/>
    <w:uiPriority w:val="99"/>
    <w:locked/>
    <w:rsid w:val="003D0921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547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1436">
              <w:marLeft w:val="623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5750">
          <w:marLeft w:val="5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718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97193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2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9012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1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0186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59848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5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1952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74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121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383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79604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090">
              <w:marLeft w:val="1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4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0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3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8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1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4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04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9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244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98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6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461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3762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7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613234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20">
              <w:marLeft w:val="1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3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360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115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151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491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8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27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7390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52422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6763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93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424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927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318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14317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787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205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5108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7556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32565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22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674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084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1658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811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727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879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60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632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256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5726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62909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40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005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26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524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72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91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337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28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58560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1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933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700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208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6172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638902">
              <w:marLeft w:val="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048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259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1898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5305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2072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5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0529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880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70764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0616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478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11777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5283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612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4191">
              <w:marLeft w:val="18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4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2641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6786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7253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27899">
              <w:marLeft w:val="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73951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312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323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689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9103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91346">
              <w:marLeft w:val="-5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2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23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45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93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0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6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42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7006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495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7633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0662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835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5581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6147">
              <w:marLeft w:val="-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</Pages>
  <Words>12361</Words>
  <Characters>7047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Користувач Windows</cp:lastModifiedBy>
  <cp:revision>8</cp:revision>
  <cp:lastPrinted>2019-07-31T13:17:00Z</cp:lastPrinted>
  <dcterms:created xsi:type="dcterms:W3CDTF">2019-04-23T08:35:00Z</dcterms:created>
  <dcterms:modified xsi:type="dcterms:W3CDTF">2020-05-22T06:11:00Z</dcterms:modified>
</cp:coreProperties>
</file>