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08B" w:rsidRPr="00EF5243" w:rsidRDefault="00CB408B" w:rsidP="00511FB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F52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0CC751" wp14:editId="61473202">
                <wp:simplePos x="0" y="0"/>
                <wp:positionH relativeFrom="column">
                  <wp:posOffset>643890</wp:posOffset>
                </wp:positionH>
                <wp:positionV relativeFrom="paragraph">
                  <wp:posOffset>95885</wp:posOffset>
                </wp:positionV>
                <wp:extent cx="4701540" cy="1885950"/>
                <wp:effectExtent l="0" t="0" r="381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1540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08B" w:rsidRPr="00EF5243" w:rsidRDefault="00CB408B" w:rsidP="00593D60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3EE6839" wp14:editId="0C2119D1">
                                  <wp:extent cx="444500" cy="622300"/>
                                  <wp:effectExtent l="0" t="0" r="0" b="635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4500" cy="622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B408B" w:rsidRPr="00EF5243" w:rsidRDefault="00CB408B" w:rsidP="00593D60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CB408B" w:rsidRPr="00EF5243" w:rsidRDefault="00CB408B" w:rsidP="00593D60">
                            <w:pPr>
                              <w:pStyle w:val="1"/>
                              <w:ind w:left="-142" w:right="-130"/>
                              <w:rPr>
                                <w:sz w:val="28"/>
                                <w:szCs w:val="28"/>
                              </w:rPr>
                            </w:pPr>
                            <w:r w:rsidRPr="00EF5243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CB408B" w:rsidRPr="00EF5243" w:rsidRDefault="00CB408B" w:rsidP="00593D60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CB408B" w:rsidRPr="00EF5243" w:rsidRDefault="006211DA" w:rsidP="00593D60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СЬОМА</w:t>
                            </w:r>
                            <w:r w:rsidR="00CB408B"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СЕСІЯ ВОСЬМОГО  СКЛИКАННЯ</w:t>
                            </w:r>
                          </w:p>
                          <w:p w:rsidR="00CB408B" w:rsidRPr="00EF5243" w:rsidRDefault="00CB408B" w:rsidP="00593D60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CB408B" w:rsidRPr="00EF5243" w:rsidRDefault="00CB408B" w:rsidP="00593D60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CB408B" w:rsidRDefault="00CB408B" w:rsidP="00CB408B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CB408B" w:rsidRPr="009E1E56" w:rsidRDefault="00CB408B" w:rsidP="00CB408B">
                            <w:pPr>
                              <w:ind w:left="-142" w:right="-129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CB408B" w:rsidRPr="009E1E56" w:rsidRDefault="00CB408B" w:rsidP="00CB408B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CB408B" w:rsidRPr="009E1E56" w:rsidRDefault="00CB408B" w:rsidP="00CB408B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CB408B" w:rsidRPr="00F97DDA" w:rsidRDefault="00CB408B" w:rsidP="00CB408B">
                            <w:pPr>
                              <w:ind w:left="-142" w:right="-129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0.7pt;margin-top:7.55pt;width:370.2pt;height:14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" stroked="f">
                <v:textbox>
                  <w:txbxContent>
                    <w:p w:rsidR="00CB408B" w:rsidRPr="00EF5243" w:rsidRDefault="00CB408B" w:rsidP="00593D60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EF5243">
                        <w:rPr>
                          <w:rFonts w:ascii="Times New Roman" w:hAnsi="Times New Roman" w:cs="Times New Roman"/>
                          <w:noProof/>
                          <w:lang w:eastAsia="ru-RU"/>
                        </w:rPr>
                        <w:drawing>
                          <wp:inline distT="0" distB="0" distL="0" distR="0" wp14:anchorId="23EE6839" wp14:editId="0C2119D1">
                            <wp:extent cx="444500" cy="622300"/>
                            <wp:effectExtent l="0" t="0" r="0" b="635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4500" cy="622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B408B" w:rsidRPr="00EF5243" w:rsidRDefault="00CB408B" w:rsidP="00593D60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</w:p>
                    <w:p w:rsidR="00CB408B" w:rsidRPr="00EF5243" w:rsidRDefault="00CB408B" w:rsidP="00593D60">
                      <w:pPr>
                        <w:pStyle w:val="1"/>
                        <w:ind w:left="-142" w:right="-130"/>
                        <w:rPr>
                          <w:sz w:val="28"/>
                          <w:szCs w:val="28"/>
                        </w:rPr>
                      </w:pPr>
                      <w:r w:rsidRPr="00EF5243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CB408B" w:rsidRPr="00EF5243" w:rsidRDefault="00CB408B" w:rsidP="00593D60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ОБЛАСТ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CB408B" w:rsidRPr="00EF5243" w:rsidRDefault="006211DA" w:rsidP="00593D60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СЬОМА</w:t>
                      </w:r>
                      <w:r w:rsidR="00CB408B"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СЕСІЯ ВОСЬМОГО  СКЛИКАННЯ</w:t>
                      </w:r>
                    </w:p>
                    <w:p w:rsidR="00CB408B" w:rsidRPr="00EF5243" w:rsidRDefault="00CB408B" w:rsidP="00593D60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CB408B" w:rsidRPr="00EF5243" w:rsidRDefault="00CB408B" w:rsidP="00593D60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CB408B" w:rsidRDefault="00CB408B" w:rsidP="00CB408B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CB408B" w:rsidRPr="009E1E56" w:rsidRDefault="00CB408B" w:rsidP="00CB408B">
                      <w:pPr>
                        <w:ind w:left="-142" w:right="-129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CB408B" w:rsidRPr="009E1E56" w:rsidRDefault="00CB408B" w:rsidP="00CB408B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CB408B" w:rsidRPr="009E1E56" w:rsidRDefault="00CB408B" w:rsidP="00CB408B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CB408B" w:rsidRPr="00F97DDA" w:rsidRDefault="00CB408B" w:rsidP="00CB408B">
                      <w:pPr>
                        <w:ind w:left="-142" w:right="-129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B408B" w:rsidRPr="00EF5243" w:rsidRDefault="00CB408B" w:rsidP="00511FB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Pr="00EF5243" w:rsidRDefault="00CB408B" w:rsidP="00511FB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Pr="00EF5243" w:rsidRDefault="00CB408B" w:rsidP="00511FB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Pr="00EF5243" w:rsidRDefault="00CB408B" w:rsidP="00511FB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Pr="00EF5243" w:rsidRDefault="00CB408B" w:rsidP="00511FB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77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13"/>
        <w:gridCol w:w="4168"/>
        <w:gridCol w:w="3402"/>
        <w:gridCol w:w="1894"/>
      </w:tblGrid>
      <w:tr w:rsidR="00CB408B" w:rsidRPr="00EF5243" w:rsidTr="00511FB6">
        <w:trPr>
          <w:trHeight w:val="307"/>
        </w:trPr>
        <w:tc>
          <w:tcPr>
            <w:tcW w:w="7583" w:type="dxa"/>
            <w:gridSpan w:val="3"/>
            <w:tcMar>
              <w:left w:w="57" w:type="dxa"/>
              <w:right w:w="57" w:type="dxa"/>
            </w:tcMar>
          </w:tcPr>
          <w:p w:rsidR="00CB408B" w:rsidRPr="00EF5243" w:rsidRDefault="00511FB6" w:rsidP="00511FB6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березня </w:t>
            </w:r>
            <w:r w:rsidR="00BB7C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4442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894" w:type="dxa"/>
            <w:tcMar>
              <w:left w:w="57" w:type="dxa"/>
              <w:right w:w="57" w:type="dxa"/>
            </w:tcMar>
          </w:tcPr>
          <w:p w:rsidR="00CB408B" w:rsidRPr="00EF5243" w:rsidRDefault="006114D8" w:rsidP="006114D8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="00511F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298</w:t>
            </w:r>
            <w:r w:rsidR="00CB408B" w:rsidRPr="00EF52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CB408B" w:rsidRPr="00EF5243" w:rsidTr="00511FB6">
        <w:trPr>
          <w:gridBefore w:val="1"/>
          <w:gridAfter w:val="2"/>
          <w:wBefore w:w="13" w:type="dxa"/>
          <w:wAfter w:w="5296" w:type="dxa"/>
          <w:trHeight w:val="335"/>
        </w:trPr>
        <w:tc>
          <w:tcPr>
            <w:tcW w:w="4168" w:type="dxa"/>
            <w:tcMar>
              <w:left w:w="57" w:type="dxa"/>
              <w:right w:w="57" w:type="dxa"/>
            </w:tcMar>
          </w:tcPr>
          <w:p w:rsidR="00511FB6" w:rsidRPr="00593D60" w:rsidRDefault="00511FB6" w:rsidP="00511FB6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551" w:rsidRPr="00EF5243" w:rsidRDefault="00121551" w:rsidP="00511FB6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5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</w:t>
            </w:r>
            <w:r w:rsidR="00511F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доповнен</w:t>
            </w:r>
            <w:r w:rsidR="00BB7C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 w:rsidRPr="001215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Програми </w:t>
            </w:r>
            <w:r w:rsidR="00C567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 w:rsidR="00511F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567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компенсаційні виплати на пільговий проїзд автомобільним транспортом окремим категоріям громадян</w:t>
            </w:r>
            <w:r w:rsidRPr="001215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2021 рік</w:t>
            </w:r>
          </w:p>
        </w:tc>
      </w:tr>
    </w:tbl>
    <w:p w:rsidR="00511FB6" w:rsidRPr="00593D60" w:rsidRDefault="00511FB6" w:rsidP="00593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</w:p>
    <w:p w:rsidR="0082229E" w:rsidRDefault="00C5675A" w:rsidP="00593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З </w:t>
      </w:r>
      <w:r w:rsidR="002248E0">
        <w:rPr>
          <w:rFonts w:ascii="Times New Roman" w:hAnsi="Times New Roman" w:cs="Times New Roman"/>
          <w:sz w:val="28"/>
          <w:szCs w:val="28"/>
          <w:lang w:val="uk-UA"/>
        </w:rPr>
        <w:t xml:space="preserve">метою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реалізації прав окремих категорій громадян на пільговий проїзд автомобільним транспортом на міських та приміських автобусних маршрутах загального користування та для </w:t>
      </w:r>
      <w:r w:rsidR="002248E0">
        <w:rPr>
          <w:rFonts w:ascii="Times New Roman" w:hAnsi="Times New Roman" w:cs="Times New Roman"/>
          <w:sz w:val="28"/>
          <w:szCs w:val="28"/>
          <w:lang w:val="uk-UA"/>
        </w:rPr>
        <w:t>запровадження додаткових гарантій та посилення соціального захисту населення Гадяцької міської територіальної громади, керуючись п. 22 ст. 26 Закону України «Про мі</w:t>
      </w:r>
      <w:r w:rsidR="00593D60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</w:t>
      </w:r>
    </w:p>
    <w:p w:rsidR="00593D60" w:rsidRPr="0082229E" w:rsidRDefault="00593D60" w:rsidP="00593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Default="00CB408B" w:rsidP="00593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5243">
        <w:rPr>
          <w:rFonts w:ascii="Times New Roman" w:hAnsi="Times New Roman" w:cs="Times New Roman"/>
          <w:sz w:val="28"/>
          <w:szCs w:val="28"/>
          <w:lang w:val="uk-UA"/>
        </w:rPr>
        <w:t>міська рада вирішила:</w:t>
      </w:r>
    </w:p>
    <w:p w:rsidR="00593D60" w:rsidRPr="00EF5243" w:rsidRDefault="00593D60" w:rsidP="00593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6330" w:rsidRDefault="00026330" w:rsidP="00EE4883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</w:pPr>
      <w:r>
        <w:t>Внести зміни до Програми</w:t>
      </w:r>
      <w:r w:rsidR="00C5675A">
        <w:t xml:space="preserve"> про</w:t>
      </w:r>
      <w:r>
        <w:t xml:space="preserve"> </w:t>
      </w:r>
      <w:r w:rsidR="00C5675A">
        <w:rPr>
          <w:szCs w:val="28"/>
        </w:rPr>
        <w:t>компенсаційні виплати на пільговий проїзд автомобільним транспортом окремим категоріям громадян на 2021</w:t>
      </w:r>
      <w:r>
        <w:t>рі</w:t>
      </w:r>
      <w:r w:rsidR="00C5675A">
        <w:t>к, затвердженої рішенням шостої</w:t>
      </w:r>
      <w:r>
        <w:t xml:space="preserve"> сесії Гадяцької міської ради </w:t>
      </w:r>
      <w:r w:rsidR="009E13F8">
        <w:t>восьмого скликання</w:t>
      </w:r>
      <w:r>
        <w:t xml:space="preserve"> </w:t>
      </w:r>
      <w:r w:rsidR="00C5675A">
        <w:t>від 10.02.2021</w:t>
      </w:r>
      <w:r>
        <w:t xml:space="preserve"> </w:t>
      </w:r>
      <w:r w:rsidR="00556E9E">
        <w:t>№ 261</w:t>
      </w:r>
      <w:r>
        <w:t xml:space="preserve"> (надалі</w:t>
      </w:r>
      <w:r w:rsidR="002E0E82">
        <w:t xml:space="preserve"> - Програма)</w:t>
      </w:r>
      <w:r w:rsidR="004E568F">
        <w:t>:</w:t>
      </w:r>
    </w:p>
    <w:p w:rsidR="004E568F" w:rsidRDefault="004E568F" w:rsidP="00EE4883">
      <w:pPr>
        <w:pStyle w:val="a5"/>
        <w:numPr>
          <w:ilvl w:val="0"/>
          <w:numId w:val="5"/>
        </w:numPr>
        <w:ind w:left="284" w:firstLine="567"/>
        <w:jc w:val="both"/>
      </w:pPr>
      <w:r>
        <w:t>р</w:t>
      </w:r>
      <w:r w:rsidR="00C5675A">
        <w:t>озділ 2 «Загальні положення» Програми</w:t>
      </w:r>
      <w:r w:rsidR="002E0E82">
        <w:t xml:space="preserve"> виклас</w:t>
      </w:r>
      <w:r>
        <w:t>ти в новій редакції (Додаток 1):</w:t>
      </w:r>
    </w:p>
    <w:p w:rsidR="004E568F" w:rsidRPr="00BB7C92" w:rsidRDefault="005C7FB2" w:rsidP="00EE4883">
      <w:pPr>
        <w:pStyle w:val="a8"/>
        <w:numPr>
          <w:ilvl w:val="0"/>
          <w:numId w:val="1"/>
        </w:num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FB2"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Фінансовому управлінню Гадяцької міської ради (Бабенко А.Л.) здійснювати фінансування Програми в межах затверджених асигнувань на відповідний період.</w:t>
      </w:r>
    </w:p>
    <w:p w:rsidR="00CB408B" w:rsidRPr="004442B0" w:rsidRDefault="00CB408B" w:rsidP="00593D60">
      <w:pPr>
        <w:numPr>
          <w:ilvl w:val="0"/>
          <w:numId w:val="1"/>
        </w:numPr>
        <w:spacing w:after="0" w:line="240" w:lineRule="auto"/>
        <w:ind w:left="284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1BE8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</w:t>
      </w:r>
      <w:r w:rsidR="00EE4883">
        <w:rPr>
          <w:rFonts w:ascii="Times New Roman" w:hAnsi="Times New Roman" w:cs="Times New Roman"/>
          <w:sz w:val="28"/>
          <w:szCs w:val="28"/>
          <w:lang w:val="uk-UA"/>
        </w:rPr>
        <w:t>покласти на постійну комісію</w:t>
      </w:r>
      <w:r w:rsidRPr="00D21B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5243">
        <w:rPr>
          <w:rFonts w:ascii="Times New Roman" w:hAnsi="Times New Roman" w:cs="Times New Roman"/>
          <w:sz w:val="28"/>
          <w:szCs w:val="28"/>
          <w:lang w:val="uk-UA"/>
        </w:rPr>
        <w:t xml:space="preserve">Гадяцької </w:t>
      </w:r>
      <w:r w:rsidRPr="00D21BE8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з питань </w:t>
      </w:r>
      <w:r w:rsidRPr="00EF5243">
        <w:rPr>
          <w:rFonts w:ascii="Times New Roman" w:hAnsi="Times New Roman" w:cs="Times New Roman"/>
          <w:sz w:val="28"/>
          <w:szCs w:val="28"/>
          <w:lang w:val="uk-UA"/>
        </w:rPr>
        <w:t>регламенту, депутатської діяльності та етики, забезпечення законності і правопорядку, зв</w:t>
      </w:r>
      <w:r w:rsidRPr="006B5B7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F5243">
        <w:rPr>
          <w:rFonts w:ascii="Times New Roman" w:hAnsi="Times New Roman" w:cs="Times New Roman"/>
          <w:sz w:val="28"/>
          <w:szCs w:val="28"/>
          <w:lang w:val="uk-UA"/>
        </w:rPr>
        <w:t xml:space="preserve">язків із засобами масової інформації, </w:t>
      </w:r>
      <w:r w:rsidRPr="006B5B7A">
        <w:rPr>
          <w:rFonts w:ascii="Times New Roman" w:hAnsi="Times New Roman" w:cs="Times New Roman"/>
          <w:sz w:val="28"/>
          <w:szCs w:val="28"/>
          <w:lang w:val="uk-UA"/>
        </w:rPr>
        <w:t>соціального захисту населення</w:t>
      </w:r>
      <w:r w:rsidRPr="00EF524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B5B7A">
        <w:rPr>
          <w:rFonts w:ascii="Times New Roman" w:hAnsi="Times New Roman" w:cs="Times New Roman"/>
          <w:sz w:val="28"/>
          <w:szCs w:val="28"/>
          <w:lang w:val="uk-UA"/>
        </w:rPr>
        <w:t xml:space="preserve"> охорони  здоров'я</w:t>
      </w:r>
      <w:r w:rsidRPr="00EF5243">
        <w:rPr>
          <w:rFonts w:ascii="Times New Roman" w:hAnsi="Times New Roman" w:cs="Times New Roman"/>
          <w:sz w:val="28"/>
          <w:szCs w:val="28"/>
          <w:lang w:val="uk-UA"/>
        </w:rPr>
        <w:t>, освіти, культури, молодіжної політики, спорту та туризму (Кулик К.П.).</w:t>
      </w:r>
    </w:p>
    <w:tbl>
      <w:tblPr>
        <w:tblW w:w="9463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CB408B" w:rsidRPr="00EF5243" w:rsidTr="001829EC">
        <w:trPr>
          <w:trHeight w:val="307"/>
        </w:trPr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B408B" w:rsidRDefault="00CB408B" w:rsidP="00593D60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442B0" w:rsidRDefault="004442B0" w:rsidP="00593D60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442B0" w:rsidRPr="00EF5243" w:rsidRDefault="004442B0" w:rsidP="00593D60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B408B" w:rsidRPr="00EF5243" w:rsidRDefault="00CB408B" w:rsidP="00593D60">
            <w:pPr>
              <w:tabs>
                <w:tab w:val="left" w:pos="6720"/>
              </w:tabs>
              <w:spacing w:after="0"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52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Міський голова      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B408B" w:rsidRDefault="00CB408B" w:rsidP="00593D60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442B0" w:rsidRDefault="004442B0" w:rsidP="00593D60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442B0" w:rsidRPr="00EF5243" w:rsidRDefault="004442B0" w:rsidP="00593D60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B408B" w:rsidRDefault="00CB408B" w:rsidP="00593D60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52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В.О. Нестеренко</w:t>
            </w:r>
          </w:p>
          <w:p w:rsidR="004442B0" w:rsidRDefault="004442B0" w:rsidP="00593D60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442B0" w:rsidRPr="00EF5243" w:rsidRDefault="004442B0" w:rsidP="00593D60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82F4C" w:rsidRPr="004442B0" w:rsidRDefault="00282F4C" w:rsidP="00593D60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F4268" w:rsidTr="00BF4268">
        <w:tc>
          <w:tcPr>
            <w:tcW w:w="4927" w:type="dxa"/>
          </w:tcPr>
          <w:p w:rsidR="00BF4268" w:rsidRDefault="00BF4268" w:rsidP="00593D6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</w:tcPr>
          <w:p w:rsidR="004442B0" w:rsidRDefault="004442B0" w:rsidP="004442B0">
            <w:pPr>
              <w:ind w:left="74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442B0" w:rsidRDefault="004442B0" w:rsidP="004442B0">
            <w:pPr>
              <w:ind w:left="74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F4268" w:rsidRPr="00511FB6" w:rsidRDefault="00BF4268" w:rsidP="004442B0">
            <w:pPr>
              <w:ind w:left="74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1F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Додаток 1</w:t>
            </w:r>
          </w:p>
          <w:p w:rsidR="00BF4268" w:rsidRPr="00511FB6" w:rsidRDefault="004442B0" w:rsidP="004442B0">
            <w:pPr>
              <w:ind w:left="74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BF4268" w:rsidRPr="00511F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сьомої сесії</w:t>
            </w:r>
          </w:p>
          <w:p w:rsidR="00BF4268" w:rsidRPr="00511FB6" w:rsidRDefault="00BF4268" w:rsidP="004442B0">
            <w:pPr>
              <w:ind w:left="74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1F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 міської ради</w:t>
            </w:r>
          </w:p>
          <w:p w:rsidR="00BF4268" w:rsidRPr="00511FB6" w:rsidRDefault="00BF4268" w:rsidP="004442B0">
            <w:pPr>
              <w:ind w:left="74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1F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восьмого скликання</w:t>
            </w:r>
          </w:p>
          <w:p w:rsidR="00BF4268" w:rsidRPr="00511FB6" w:rsidRDefault="00BB7C92" w:rsidP="004442B0">
            <w:pPr>
              <w:ind w:left="74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1F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18 </w:t>
            </w:r>
            <w:r w:rsidR="00BF4268" w:rsidRPr="00511F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березня 2021 року</w:t>
            </w:r>
            <w:r w:rsidR="006114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298</w:t>
            </w:r>
          </w:p>
          <w:p w:rsidR="00BF4268" w:rsidRDefault="00BF4268" w:rsidP="00593D6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F4268" w:rsidRDefault="00BF4268" w:rsidP="00593D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E568F" w:rsidRPr="00F907F5" w:rsidRDefault="004E568F" w:rsidP="00593D60">
      <w:pPr>
        <w:pStyle w:val="a8"/>
        <w:spacing w:after="0" w:line="240" w:lineRule="auto"/>
        <w:ind w:left="142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07F5">
        <w:rPr>
          <w:rFonts w:ascii="Times New Roman" w:hAnsi="Times New Roman" w:cs="Times New Roman"/>
          <w:b/>
          <w:sz w:val="28"/>
          <w:szCs w:val="28"/>
          <w:lang w:val="uk-UA"/>
        </w:rPr>
        <w:t>2.Загальні положення</w:t>
      </w:r>
    </w:p>
    <w:p w:rsidR="004E568F" w:rsidRPr="00F907F5" w:rsidRDefault="004E568F" w:rsidP="00593D60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1"/>
          <w:szCs w:val="21"/>
          <w:lang w:val="uk-UA"/>
        </w:rPr>
      </w:pPr>
      <w:r w:rsidRPr="00F907F5">
        <w:rPr>
          <w:sz w:val="28"/>
          <w:szCs w:val="28"/>
          <w:lang w:val="uk-UA"/>
        </w:rPr>
        <w:t>Програма</w:t>
      </w:r>
      <w:r>
        <w:rPr>
          <w:sz w:val="28"/>
          <w:szCs w:val="28"/>
          <w:lang w:val="uk-UA"/>
        </w:rPr>
        <w:t xml:space="preserve"> розроблена для</w:t>
      </w:r>
      <w:r w:rsidRPr="00F907F5">
        <w:rPr>
          <w:sz w:val="28"/>
          <w:szCs w:val="28"/>
          <w:lang w:val="uk-UA"/>
        </w:rPr>
        <w:t xml:space="preserve"> відшкодування </w:t>
      </w:r>
      <w:r>
        <w:rPr>
          <w:sz w:val="28"/>
          <w:szCs w:val="28"/>
          <w:lang w:val="uk-UA"/>
        </w:rPr>
        <w:t xml:space="preserve">коштів перевізнику, пов’язаних з перевезенням жителів Гадяцької міської територіальної громади, які мають право на пільги в автомобільному транспорті міського та приміського сполучення (за винятком таксі) за рахунок коштів місцевого бюджету. </w:t>
      </w:r>
      <w:r w:rsidRPr="00F907F5">
        <w:rPr>
          <w:sz w:val="28"/>
          <w:szCs w:val="28"/>
          <w:lang w:val="uk-UA"/>
        </w:rPr>
        <w:t>Перевезення громадян автотранспортом у міському та приміському сполученні, як правило, здійснюється автобусами</w:t>
      </w:r>
      <w:r>
        <w:rPr>
          <w:sz w:val="28"/>
          <w:szCs w:val="28"/>
          <w:lang w:val="uk-UA"/>
        </w:rPr>
        <w:t xml:space="preserve"> перевізника, з яким укладено відповідний договір.</w:t>
      </w:r>
    </w:p>
    <w:p w:rsidR="004E568F" w:rsidRPr="00F907F5" w:rsidRDefault="004E568F" w:rsidP="00593D60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907F5">
        <w:rPr>
          <w:sz w:val="28"/>
          <w:szCs w:val="28"/>
          <w:lang w:val="uk-UA"/>
        </w:rPr>
        <w:t>Програма розроблена відповідно до Бюджетного Кодексу України, Законів України «Про автомобільний транспорт», «Про статус ветеранів війни, гарантії їх соціального захисту», «Про державну соціальну допомогу інвалідам з дитинства та дітям-інвалідам», «Про державну соціальну допомогу особам, які не мають права на пенсію, та інвалідам», «Про основи соціальної захищеності інвалідів в Україні», «Про соціальний і правовий захист військовослужбовців та членів їх сімей», «Про статус і соціальний захист громадян, які постраждали внаслідок Чорнобильської катастрофи», «Про охорону дитин</w:t>
      </w:r>
      <w:bookmarkStart w:id="0" w:name="_GoBack"/>
      <w:bookmarkEnd w:id="0"/>
      <w:r w:rsidRPr="00F907F5">
        <w:rPr>
          <w:sz w:val="28"/>
          <w:szCs w:val="28"/>
          <w:lang w:val="uk-UA"/>
        </w:rPr>
        <w:t>ства».</w:t>
      </w:r>
    </w:p>
    <w:p w:rsidR="004E568F" w:rsidRPr="00F907F5" w:rsidRDefault="004E568F" w:rsidP="00593D60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1"/>
          <w:szCs w:val="21"/>
          <w:lang w:val="uk-UA"/>
        </w:rPr>
      </w:pPr>
      <w:r w:rsidRPr="00280333">
        <w:rPr>
          <w:sz w:val="28"/>
          <w:szCs w:val="28"/>
          <w:lang w:val="uk-UA"/>
        </w:rPr>
        <w:t>Автобусний маршрут приміський</w:t>
      </w:r>
      <w:r w:rsidRPr="00F907F5">
        <w:rPr>
          <w:sz w:val="28"/>
          <w:szCs w:val="28"/>
          <w:lang w:val="uk-UA"/>
        </w:rPr>
        <w:t xml:space="preserve"> — автобусний маршрут, який з’єднує населені пункти і протяжність якого не перевищує 50 км (ст. 1 </w:t>
      </w:r>
      <w:proofErr w:type="spellStart"/>
      <w:r w:rsidRPr="00F907F5">
        <w:rPr>
          <w:sz w:val="28"/>
          <w:szCs w:val="28"/>
          <w:lang w:val="uk-UA"/>
        </w:rPr>
        <w:t>розд</w:t>
      </w:r>
      <w:proofErr w:type="spellEnd"/>
      <w:r w:rsidRPr="00F907F5">
        <w:rPr>
          <w:sz w:val="28"/>
          <w:szCs w:val="28"/>
          <w:lang w:val="uk-UA"/>
        </w:rPr>
        <w:t>. I Закону України від 05.04.01 р. № 2344-III «Про автомобільний транспорт»).</w:t>
      </w:r>
    </w:p>
    <w:p w:rsidR="004E568F" w:rsidRPr="00F907F5" w:rsidRDefault="004E568F" w:rsidP="00593D60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1"/>
          <w:szCs w:val="21"/>
          <w:lang w:val="uk-UA"/>
        </w:rPr>
      </w:pPr>
      <w:r w:rsidRPr="00F907F5">
        <w:rPr>
          <w:sz w:val="28"/>
          <w:szCs w:val="28"/>
          <w:lang w:val="uk-UA"/>
        </w:rPr>
        <w:t>Автобусний маршрут</w:t>
      </w:r>
      <w:r>
        <w:rPr>
          <w:sz w:val="28"/>
          <w:szCs w:val="28"/>
          <w:lang w:val="uk-UA"/>
        </w:rPr>
        <w:t>,</w:t>
      </w:r>
      <w:r w:rsidRPr="00F907F5">
        <w:rPr>
          <w:sz w:val="28"/>
          <w:szCs w:val="28"/>
          <w:lang w:val="uk-UA"/>
        </w:rPr>
        <w:t xml:space="preserve"> на який розповсюджує дію вищевказана Програма:</w:t>
      </w:r>
    </w:p>
    <w:p w:rsidR="004E568F" w:rsidRPr="004E568F" w:rsidRDefault="004E568F" w:rsidP="00593D60">
      <w:pPr>
        <w:numPr>
          <w:ilvl w:val="0"/>
          <w:numId w:val="8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E568F">
        <w:rPr>
          <w:rFonts w:ascii="Times New Roman" w:hAnsi="Times New Roman" w:cs="Times New Roman"/>
          <w:b/>
          <w:bCs/>
          <w:sz w:val="28"/>
          <w:szCs w:val="28"/>
          <w:lang w:val="uk-UA"/>
        </w:rPr>
        <w:t>м. Гадяч – с. Малі Будища</w:t>
      </w:r>
    </w:p>
    <w:p w:rsidR="004E568F" w:rsidRPr="00F907F5" w:rsidRDefault="004E568F" w:rsidP="00593D60">
      <w:pPr>
        <w:pStyle w:val="210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rFonts w:ascii="Arial" w:hAnsi="Arial" w:cs="Arial"/>
          <w:sz w:val="28"/>
          <w:szCs w:val="28"/>
          <w:lang w:val="uk-UA"/>
        </w:rPr>
      </w:pPr>
      <w:r w:rsidRPr="00F907F5">
        <w:rPr>
          <w:sz w:val="28"/>
          <w:szCs w:val="28"/>
          <w:lang w:val="uk-UA"/>
        </w:rPr>
        <w:t>Постановою КМУ від 14.03.2018 року № 197 визначено окремі категорії осіб, які мають право на пільги з оплати проїзду на приміських маршрутах.</w:t>
      </w:r>
    </w:p>
    <w:p w:rsidR="004E568F" w:rsidRPr="004E568F" w:rsidRDefault="004E568F" w:rsidP="00593D60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r w:rsidRPr="004E568F">
        <w:rPr>
          <w:sz w:val="28"/>
          <w:szCs w:val="28"/>
          <w:lang w:val="uk-UA"/>
        </w:rPr>
        <w:t>особи, які постраждали внаслідок Чорнобильської катастрофи, віднесених до категорії 1, відповідно до </w:t>
      </w:r>
      <w:hyperlink r:id="rId9" w:anchor="n177" w:tgtFrame="_blank" w:history="1">
        <w:r w:rsidRPr="004E568F">
          <w:rPr>
            <w:rStyle w:val="a9"/>
            <w:color w:val="auto"/>
            <w:sz w:val="28"/>
            <w:szCs w:val="28"/>
            <w:u w:val="none"/>
            <w:lang w:val="uk-UA"/>
          </w:rPr>
          <w:t>статті 20</w:t>
        </w:r>
      </w:hyperlink>
      <w:r w:rsidRPr="004E568F">
        <w:rPr>
          <w:sz w:val="28"/>
          <w:szCs w:val="28"/>
          <w:lang w:val="uk-UA"/>
        </w:rPr>
        <w:t> Закону України “Про статус і соціальний захист громадян, які постраждали внаслідок Чорнобильської катастрофи”;</w:t>
      </w:r>
    </w:p>
    <w:p w:rsidR="004E568F" w:rsidRPr="004E568F" w:rsidRDefault="004E568F" w:rsidP="00593D60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8"/>
          <w:szCs w:val="28"/>
          <w:lang w:val="uk-UA"/>
        </w:rPr>
      </w:pPr>
      <w:bookmarkStart w:id="1" w:name="n16"/>
      <w:bookmarkEnd w:id="1"/>
      <w:r w:rsidRPr="004E568F">
        <w:rPr>
          <w:sz w:val="28"/>
          <w:szCs w:val="28"/>
          <w:lang w:val="uk-UA"/>
        </w:rPr>
        <w:t>учасники ліквідації наслідків аварії на Чорнобильській АЕС, віднесених до категорії 2, відповідно до </w:t>
      </w:r>
      <w:hyperlink r:id="rId10" w:anchor="n247" w:tgtFrame="_blank" w:history="1">
        <w:r w:rsidRPr="004E568F">
          <w:rPr>
            <w:rStyle w:val="a9"/>
            <w:color w:val="auto"/>
            <w:sz w:val="28"/>
            <w:szCs w:val="28"/>
            <w:u w:val="none"/>
            <w:lang w:val="uk-UA"/>
          </w:rPr>
          <w:t>статті 21</w:t>
        </w:r>
      </w:hyperlink>
      <w:r w:rsidRPr="004E568F">
        <w:rPr>
          <w:sz w:val="28"/>
          <w:szCs w:val="28"/>
          <w:lang w:val="uk-UA"/>
        </w:rPr>
        <w:t> Закону України “Про статус і соціальний захист громадян, які постраждали внаслідок Чорнобильської катастрофи”;</w:t>
      </w:r>
    </w:p>
    <w:p w:rsidR="004E568F" w:rsidRPr="004E568F" w:rsidRDefault="004E568F" w:rsidP="00593D60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bookmarkStart w:id="2" w:name="n17"/>
      <w:bookmarkEnd w:id="2"/>
      <w:r w:rsidRPr="004E568F">
        <w:rPr>
          <w:sz w:val="28"/>
          <w:szCs w:val="28"/>
          <w:lang w:val="uk-UA"/>
        </w:rPr>
        <w:t>діти, віком від шести років, потерпілих від Чорнобильської катастрофи, яким встановлено інвалідність, пов’язану з Чорнобильською катастрофою, відповідно до </w:t>
      </w:r>
      <w:hyperlink r:id="rId11" w:anchor="n335" w:tgtFrame="_blank" w:history="1">
        <w:r w:rsidRPr="004E568F">
          <w:rPr>
            <w:rStyle w:val="a9"/>
            <w:color w:val="auto"/>
            <w:sz w:val="28"/>
            <w:szCs w:val="28"/>
            <w:u w:val="none"/>
            <w:lang w:val="uk-UA"/>
          </w:rPr>
          <w:t>статті 30</w:t>
        </w:r>
      </w:hyperlink>
      <w:r w:rsidRPr="004E568F">
        <w:rPr>
          <w:sz w:val="28"/>
          <w:szCs w:val="28"/>
          <w:lang w:val="uk-UA"/>
        </w:rPr>
        <w:t> Закону України “Про статус і соціальний захист громадян, які постраждали внаслідок Чорнобильської катастрофи”;</w:t>
      </w:r>
    </w:p>
    <w:p w:rsidR="004E568F" w:rsidRPr="004E568F" w:rsidRDefault="004E568F" w:rsidP="00593D60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8"/>
          <w:szCs w:val="28"/>
          <w:lang w:val="uk-UA"/>
        </w:rPr>
      </w:pPr>
      <w:bookmarkStart w:id="3" w:name="n18"/>
      <w:bookmarkEnd w:id="3"/>
      <w:r w:rsidRPr="004E568F">
        <w:rPr>
          <w:sz w:val="28"/>
          <w:szCs w:val="28"/>
          <w:lang w:val="uk-UA"/>
        </w:rPr>
        <w:t>учасники бойових дій відповідно до </w:t>
      </w:r>
      <w:hyperlink r:id="rId12" w:anchor="n195" w:tgtFrame="_blank" w:history="1">
        <w:r w:rsidRPr="004E568F">
          <w:rPr>
            <w:rStyle w:val="a9"/>
            <w:color w:val="auto"/>
            <w:sz w:val="28"/>
            <w:szCs w:val="28"/>
            <w:u w:val="none"/>
            <w:lang w:val="uk-UA"/>
          </w:rPr>
          <w:t>статті 12</w:t>
        </w:r>
      </w:hyperlink>
      <w:r w:rsidRPr="004E568F">
        <w:rPr>
          <w:sz w:val="28"/>
          <w:szCs w:val="28"/>
          <w:lang w:val="uk-UA"/>
        </w:rPr>
        <w:t> Закону України “Про статус ветеранів війни, гарантії їх соціального захисту”;</w:t>
      </w:r>
    </w:p>
    <w:p w:rsidR="004E568F" w:rsidRDefault="004E568F" w:rsidP="00593D60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bookmarkStart w:id="4" w:name="n19"/>
      <w:bookmarkEnd w:id="4"/>
      <w:r w:rsidRPr="004E568F">
        <w:rPr>
          <w:sz w:val="28"/>
          <w:szCs w:val="28"/>
          <w:lang w:val="uk-UA"/>
        </w:rPr>
        <w:t>особи, які отримали інвалідність внаслідок війни, відповідно до </w:t>
      </w:r>
      <w:hyperlink r:id="rId13" w:anchor="n258" w:tgtFrame="_blank" w:history="1">
        <w:r w:rsidRPr="004E568F">
          <w:rPr>
            <w:rStyle w:val="a9"/>
            <w:color w:val="auto"/>
            <w:sz w:val="28"/>
            <w:szCs w:val="28"/>
            <w:u w:val="none"/>
            <w:lang w:val="uk-UA"/>
          </w:rPr>
          <w:t>статті 13</w:t>
        </w:r>
      </w:hyperlink>
      <w:r w:rsidRPr="004E568F">
        <w:rPr>
          <w:sz w:val="28"/>
          <w:szCs w:val="28"/>
          <w:lang w:val="uk-UA"/>
        </w:rPr>
        <w:t> Закону України “Про статус ветеранів війни, гарантії їх соціального захисту”;</w:t>
      </w:r>
    </w:p>
    <w:p w:rsidR="004442B0" w:rsidRDefault="004442B0" w:rsidP="004442B0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442B0" w:rsidRPr="004E568F" w:rsidRDefault="004442B0" w:rsidP="004442B0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E568F" w:rsidRPr="004E568F" w:rsidRDefault="004E568F" w:rsidP="00593D60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bookmarkStart w:id="5" w:name="n20"/>
      <w:bookmarkEnd w:id="5"/>
      <w:r w:rsidRPr="004E568F">
        <w:rPr>
          <w:sz w:val="28"/>
          <w:szCs w:val="28"/>
          <w:lang w:val="uk-UA"/>
        </w:rPr>
        <w:t>діти, віком від шести років з багатодітних сімей, відповідно до </w:t>
      </w:r>
      <w:hyperlink r:id="rId14" w:anchor="n122" w:tgtFrame="_blank" w:history="1">
        <w:r w:rsidRPr="004E568F">
          <w:rPr>
            <w:rStyle w:val="a9"/>
            <w:color w:val="auto"/>
            <w:sz w:val="28"/>
            <w:szCs w:val="28"/>
            <w:u w:val="none"/>
            <w:lang w:val="uk-UA"/>
          </w:rPr>
          <w:t>статті 13</w:t>
        </w:r>
      </w:hyperlink>
      <w:r w:rsidRPr="004E568F">
        <w:rPr>
          <w:sz w:val="28"/>
          <w:szCs w:val="28"/>
          <w:lang w:val="uk-UA"/>
        </w:rPr>
        <w:t> Закону України “Про охорону дитинства”;</w:t>
      </w:r>
    </w:p>
    <w:p w:rsidR="004E568F" w:rsidRPr="004E568F" w:rsidRDefault="004E568F" w:rsidP="00593D60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8"/>
          <w:szCs w:val="28"/>
          <w:lang w:val="uk-UA"/>
        </w:rPr>
      </w:pPr>
      <w:bookmarkStart w:id="6" w:name="n21"/>
      <w:bookmarkEnd w:id="6"/>
      <w:r w:rsidRPr="004E568F">
        <w:rPr>
          <w:sz w:val="28"/>
          <w:szCs w:val="28"/>
          <w:lang w:val="uk-UA"/>
        </w:rPr>
        <w:t xml:space="preserve">ветерани військової служби, ветерани органів внутрішніх справ, ветерани Національної поліції, ветерани податкової міліції, ветерани державної пожежної охорони, ветерани Державної кримінально-виконавчої служби, ветерани служби цивільного захисту, ветерани </w:t>
      </w:r>
      <w:proofErr w:type="spellStart"/>
      <w:r w:rsidRPr="004E568F">
        <w:rPr>
          <w:sz w:val="28"/>
          <w:szCs w:val="28"/>
          <w:lang w:val="uk-UA"/>
        </w:rPr>
        <w:t>Держспецзв’язку</w:t>
      </w:r>
      <w:proofErr w:type="spellEnd"/>
      <w:r w:rsidRPr="004E568F">
        <w:rPr>
          <w:sz w:val="28"/>
          <w:szCs w:val="28"/>
          <w:lang w:val="uk-UA"/>
        </w:rPr>
        <w:t xml:space="preserve"> відповідно до </w:t>
      </w:r>
      <w:hyperlink r:id="rId15" w:tgtFrame="_blank" w:history="1">
        <w:r w:rsidRPr="004E568F">
          <w:rPr>
            <w:rStyle w:val="a9"/>
            <w:color w:val="auto"/>
            <w:sz w:val="28"/>
            <w:szCs w:val="28"/>
            <w:u w:val="none"/>
            <w:lang w:val="uk-UA"/>
          </w:rPr>
          <w:t>статті 6</w:t>
        </w:r>
      </w:hyperlink>
      <w:r w:rsidRPr="004E568F">
        <w:rPr>
          <w:sz w:val="28"/>
          <w:szCs w:val="28"/>
          <w:lang w:val="uk-UA"/>
        </w:rPr>
        <w:t> Закону України “Про статус ветеранів військової служби, ветерани органів внутрішніх справ, ветеранів Національної поліції і деяких інших осіб та їх соціальний захист”;</w:t>
      </w:r>
    </w:p>
    <w:p w:rsidR="004E568F" w:rsidRPr="004E568F" w:rsidRDefault="004E568F" w:rsidP="00593D60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bookmarkStart w:id="7" w:name="n22"/>
      <w:bookmarkEnd w:id="7"/>
      <w:r w:rsidRPr="004E568F">
        <w:rPr>
          <w:sz w:val="28"/>
          <w:szCs w:val="28"/>
          <w:lang w:val="uk-UA"/>
        </w:rPr>
        <w:t>батьки, вдови/вдівці військовослужбовців, які загинули чи померли або пропали безвісти під час проходження військової служби, відповідно до </w:t>
      </w:r>
      <w:hyperlink r:id="rId16" w:anchor="n245" w:tgtFrame="_blank" w:history="1">
        <w:r w:rsidRPr="004E568F">
          <w:rPr>
            <w:rStyle w:val="a9"/>
            <w:color w:val="auto"/>
            <w:sz w:val="28"/>
            <w:szCs w:val="28"/>
            <w:u w:val="none"/>
            <w:lang w:val="uk-UA"/>
          </w:rPr>
          <w:t>статті 14</w:t>
        </w:r>
      </w:hyperlink>
      <w:r w:rsidRPr="004E568F">
        <w:rPr>
          <w:sz w:val="28"/>
          <w:szCs w:val="28"/>
          <w:lang w:val="uk-UA"/>
        </w:rPr>
        <w:t> Закону України “Про соціальний і правовий захист військовослужбовців та членів їх сімей”;</w:t>
      </w:r>
    </w:p>
    <w:p w:rsidR="004E568F" w:rsidRPr="004E568F" w:rsidRDefault="004E568F" w:rsidP="00593D60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bookmarkStart w:id="8" w:name="n23"/>
      <w:bookmarkEnd w:id="8"/>
      <w:r w:rsidRPr="004E568F">
        <w:rPr>
          <w:sz w:val="28"/>
          <w:szCs w:val="28"/>
          <w:lang w:val="uk-UA"/>
        </w:rPr>
        <w:t>особи з інвалідністю, діти з інвалідністю, віком від шести років та особи, які супроводжують осіб з інвалідністю I групи або дітей з інвалідністю, відповідно до </w:t>
      </w:r>
      <w:hyperlink r:id="rId17" w:tgtFrame="_blank" w:history="1">
        <w:r w:rsidRPr="004E568F">
          <w:rPr>
            <w:rStyle w:val="a9"/>
            <w:color w:val="auto"/>
            <w:sz w:val="28"/>
            <w:szCs w:val="28"/>
            <w:u w:val="none"/>
            <w:lang w:val="uk-UA"/>
          </w:rPr>
          <w:t>статті 38</w:t>
        </w:r>
      </w:hyperlink>
      <w:hyperlink r:id="rId18" w:tgtFrame="_blank" w:history="1">
        <w:r w:rsidRPr="004E568F">
          <w:rPr>
            <w:rStyle w:val="a9"/>
            <w:b/>
            <w:bCs/>
            <w:color w:val="auto"/>
            <w:sz w:val="28"/>
            <w:szCs w:val="28"/>
            <w:u w:val="none"/>
            <w:vertAlign w:val="superscript"/>
            <w:lang w:val="uk-UA"/>
          </w:rPr>
          <w:t>-1</w:t>
        </w:r>
      </w:hyperlink>
      <w:r w:rsidRPr="004E568F">
        <w:rPr>
          <w:sz w:val="28"/>
          <w:szCs w:val="28"/>
          <w:lang w:val="uk-UA"/>
        </w:rPr>
        <w:t> Закону України “Про основи соціальної захищеності осіб з інвалідністю в Україні”;</w:t>
      </w:r>
    </w:p>
    <w:p w:rsidR="004E568F" w:rsidRDefault="004E568F" w:rsidP="00593D60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bookmarkStart w:id="9" w:name="n24"/>
      <w:bookmarkEnd w:id="9"/>
      <w:r w:rsidRPr="004E568F">
        <w:rPr>
          <w:sz w:val="28"/>
          <w:szCs w:val="28"/>
          <w:lang w:val="uk-UA"/>
        </w:rPr>
        <w:t>реабілітовані особи, які отримали інвалідність внаслідок репресій</w:t>
      </w:r>
      <w:r>
        <w:rPr>
          <w:sz w:val="28"/>
          <w:szCs w:val="28"/>
          <w:lang w:val="uk-UA"/>
        </w:rPr>
        <w:t xml:space="preserve"> або є пенсіонерами</w:t>
      </w:r>
      <w:r w:rsidRPr="004E568F">
        <w:rPr>
          <w:sz w:val="28"/>
          <w:szCs w:val="28"/>
          <w:lang w:val="uk-UA"/>
        </w:rPr>
        <w:t>, відповідно до </w:t>
      </w:r>
      <w:hyperlink r:id="rId19" w:tgtFrame="_blank" w:history="1">
        <w:r w:rsidRPr="004E568F">
          <w:rPr>
            <w:rStyle w:val="a9"/>
            <w:color w:val="auto"/>
            <w:sz w:val="28"/>
            <w:szCs w:val="28"/>
            <w:u w:val="none"/>
            <w:lang w:val="uk-UA"/>
          </w:rPr>
          <w:t>статті 6</w:t>
        </w:r>
      </w:hyperlink>
      <w:r w:rsidRPr="00570627">
        <w:rPr>
          <w:sz w:val="28"/>
          <w:szCs w:val="28"/>
          <w:lang w:val="uk-UA"/>
        </w:rPr>
        <w:t> Закону України “Про реабілітацію жертв політичних репресій на Укр</w:t>
      </w:r>
      <w:r>
        <w:rPr>
          <w:sz w:val="28"/>
          <w:szCs w:val="28"/>
          <w:lang w:val="uk-UA"/>
        </w:rPr>
        <w:t>аїні”;</w:t>
      </w:r>
    </w:p>
    <w:p w:rsidR="004E568F" w:rsidRDefault="004E568F" w:rsidP="00593D60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пенсіонери за віком.</w:t>
      </w:r>
    </w:p>
    <w:p w:rsidR="004E568F" w:rsidRDefault="004E568F" w:rsidP="00593D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16E1">
        <w:rPr>
          <w:rFonts w:ascii="Times New Roman" w:hAnsi="Times New Roman" w:cs="Times New Roman"/>
          <w:sz w:val="28"/>
          <w:szCs w:val="28"/>
          <w:lang w:val="uk-UA"/>
        </w:rPr>
        <w:t>Згідно листа управління соціального захисту населення Гадяцької районної державної адміністрації № 01-49/4053 від 30 листопада 2020 року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916E1">
        <w:rPr>
          <w:rFonts w:ascii="Times New Roman" w:hAnsi="Times New Roman" w:cs="Times New Roman"/>
          <w:sz w:val="28"/>
          <w:szCs w:val="28"/>
          <w:lang w:val="uk-UA"/>
        </w:rPr>
        <w:t xml:space="preserve"> кількість пільговиків, які мають право на пільговий проїзд становить 5198 осіб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(станом на 1 листопада 2020 року)</w:t>
      </w:r>
      <w:r w:rsidRPr="00B916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E568F" w:rsidRDefault="004E568F" w:rsidP="00593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pPr w:leftFromText="180" w:rightFromText="180" w:vertAnchor="text" w:horzAnchor="margin" w:tblpX="40" w:tblpY="50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28"/>
      </w:tblGrid>
      <w:tr w:rsidR="001829EC" w:rsidTr="001829EC">
        <w:tc>
          <w:tcPr>
            <w:tcW w:w="4678" w:type="dxa"/>
          </w:tcPr>
          <w:p w:rsidR="001829EC" w:rsidRDefault="001829EC" w:rsidP="00593D6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</w:t>
            </w:r>
          </w:p>
          <w:p w:rsidR="001829EC" w:rsidRDefault="001829EC" w:rsidP="00593D6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соціального захисту населення </w:t>
            </w:r>
          </w:p>
          <w:p w:rsidR="001829EC" w:rsidRDefault="001829EC" w:rsidP="00593D6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Гадяцької міської ради</w:t>
            </w:r>
          </w:p>
        </w:tc>
        <w:tc>
          <w:tcPr>
            <w:tcW w:w="4928" w:type="dxa"/>
          </w:tcPr>
          <w:p w:rsidR="001829EC" w:rsidRDefault="001829EC" w:rsidP="00593D60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829EC" w:rsidRDefault="001829EC" w:rsidP="00593D6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829EC" w:rsidRDefault="001829EC" w:rsidP="00593D60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Л.С. Ільїна</w:t>
            </w:r>
          </w:p>
        </w:tc>
      </w:tr>
    </w:tbl>
    <w:p w:rsidR="00511FB6" w:rsidRDefault="00511FB6" w:rsidP="00593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4268" w:rsidRDefault="00BF4268" w:rsidP="00593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F4268" w:rsidSect="00593D6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67331"/>
    <w:multiLevelType w:val="hybridMultilevel"/>
    <w:tmpl w:val="EF6EE290"/>
    <w:lvl w:ilvl="0" w:tplc="86886EE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D1876"/>
    <w:multiLevelType w:val="hybridMultilevel"/>
    <w:tmpl w:val="3AD8F904"/>
    <w:lvl w:ilvl="0" w:tplc="BC7C5BD2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A292C07"/>
    <w:multiLevelType w:val="hybridMultilevel"/>
    <w:tmpl w:val="08169CE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34EE7"/>
    <w:multiLevelType w:val="hybridMultilevel"/>
    <w:tmpl w:val="93AA62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F5AB9"/>
    <w:multiLevelType w:val="hybridMultilevel"/>
    <w:tmpl w:val="BC90627A"/>
    <w:lvl w:ilvl="0" w:tplc="3A7E3BA0">
      <w:start w:val="3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5E6E7385"/>
    <w:multiLevelType w:val="multilevel"/>
    <w:tmpl w:val="1E3A1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741AD5"/>
    <w:multiLevelType w:val="hybridMultilevel"/>
    <w:tmpl w:val="4D727344"/>
    <w:lvl w:ilvl="0" w:tplc="BC7C5BD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3E42B9"/>
    <w:multiLevelType w:val="hybridMultilevel"/>
    <w:tmpl w:val="B75A761C"/>
    <w:lvl w:ilvl="0" w:tplc="A68859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3C2F6D"/>
    <w:multiLevelType w:val="hybridMultilevel"/>
    <w:tmpl w:val="671C32E4"/>
    <w:lvl w:ilvl="0" w:tplc="BC7C5BD2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85D6930"/>
    <w:multiLevelType w:val="hybridMultilevel"/>
    <w:tmpl w:val="2A821622"/>
    <w:lvl w:ilvl="0" w:tplc="BC7C5BD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9D"/>
    <w:rsid w:val="00026330"/>
    <w:rsid w:val="000A6C34"/>
    <w:rsid w:val="00121551"/>
    <w:rsid w:val="001829EC"/>
    <w:rsid w:val="001D6BD5"/>
    <w:rsid w:val="002248E0"/>
    <w:rsid w:val="00282F4C"/>
    <w:rsid w:val="002E0E82"/>
    <w:rsid w:val="002E2BC3"/>
    <w:rsid w:val="00300AAF"/>
    <w:rsid w:val="0034676C"/>
    <w:rsid w:val="00372C9F"/>
    <w:rsid w:val="004442B0"/>
    <w:rsid w:val="0049740D"/>
    <w:rsid w:val="004E568F"/>
    <w:rsid w:val="00511FB6"/>
    <w:rsid w:val="00556E9E"/>
    <w:rsid w:val="00593D60"/>
    <w:rsid w:val="005C7FB2"/>
    <w:rsid w:val="006114D8"/>
    <w:rsid w:val="006211DA"/>
    <w:rsid w:val="006343C9"/>
    <w:rsid w:val="006B08CB"/>
    <w:rsid w:val="006B5B7A"/>
    <w:rsid w:val="00737246"/>
    <w:rsid w:val="00791AA6"/>
    <w:rsid w:val="007F245E"/>
    <w:rsid w:val="0082229E"/>
    <w:rsid w:val="00853DFE"/>
    <w:rsid w:val="008D299D"/>
    <w:rsid w:val="00902CC8"/>
    <w:rsid w:val="00912DED"/>
    <w:rsid w:val="00991E58"/>
    <w:rsid w:val="009E13F8"/>
    <w:rsid w:val="00BB7C92"/>
    <w:rsid w:val="00BF4268"/>
    <w:rsid w:val="00C5675A"/>
    <w:rsid w:val="00C86292"/>
    <w:rsid w:val="00CB408B"/>
    <w:rsid w:val="00CE2AD4"/>
    <w:rsid w:val="00D21BE8"/>
    <w:rsid w:val="00DA04F8"/>
    <w:rsid w:val="00DD33FF"/>
    <w:rsid w:val="00DE5499"/>
    <w:rsid w:val="00EE4883"/>
    <w:rsid w:val="00EF1531"/>
    <w:rsid w:val="00F27985"/>
    <w:rsid w:val="00F6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8B"/>
  </w:style>
  <w:style w:type="paragraph" w:styleId="1">
    <w:name w:val="heading 1"/>
    <w:basedOn w:val="a"/>
    <w:next w:val="a"/>
    <w:link w:val="10"/>
    <w:qFormat/>
    <w:rsid w:val="00CB408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08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4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408B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26330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a6">
    <w:name w:val="Основной текст с отступом Знак"/>
    <w:basedOn w:val="a0"/>
    <w:link w:val="a5"/>
    <w:rsid w:val="00026330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table" w:styleId="a7">
    <w:name w:val="Table Grid"/>
    <w:basedOn w:val="a1"/>
    <w:uiPriority w:val="59"/>
    <w:rsid w:val="00BF4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F4268"/>
    <w:pPr>
      <w:ind w:left="720"/>
      <w:contextualSpacing/>
    </w:pPr>
  </w:style>
  <w:style w:type="paragraph" w:customStyle="1" w:styleId="rvps2">
    <w:name w:val="rvps2"/>
    <w:basedOn w:val="a"/>
    <w:rsid w:val="004E5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4E568F"/>
    <w:rPr>
      <w:color w:val="0000FF"/>
      <w:u w:val="single"/>
    </w:rPr>
  </w:style>
  <w:style w:type="paragraph" w:customStyle="1" w:styleId="210">
    <w:name w:val="210"/>
    <w:basedOn w:val="a"/>
    <w:rsid w:val="004E5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4E5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8B"/>
  </w:style>
  <w:style w:type="paragraph" w:styleId="1">
    <w:name w:val="heading 1"/>
    <w:basedOn w:val="a"/>
    <w:next w:val="a"/>
    <w:link w:val="10"/>
    <w:qFormat/>
    <w:rsid w:val="00CB408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08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4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408B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26330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a6">
    <w:name w:val="Основной текст с отступом Знак"/>
    <w:basedOn w:val="a0"/>
    <w:link w:val="a5"/>
    <w:rsid w:val="00026330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table" w:styleId="a7">
    <w:name w:val="Table Grid"/>
    <w:basedOn w:val="a1"/>
    <w:uiPriority w:val="59"/>
    <w:rsid w:val="00BF4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F4268"/>
    <w:pPr>
      <w:ind w:left="720"/>
      <w:contextualSpacing/>
    </w:pPr>
  </w:style>
  <w:style w:type="paragraph" w:customStyle="1" w:styleId="rvps2">
    <w:name w:val="rvps2"/>
    <w:basedOn w:val="a"/>
    <w:rsid w:val="004E5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4E568F"/>
    <w:rPr>
      <w:color w:val="0000FF"/>
      <w:u w:val="single"/>
    </w:rPr>
  </w:style>
  <w:style w:type="paragraph" w:customStyle="1" w:styleId="210">
    <w:name w:val="210"/>
    <w:basedOn w:val="a"/>
    <w:rsid w:val="004E5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4E5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3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hyperlink" Target="https://zakon.rada.gov.ua/laws/show/3551-12" TargetMode="External"/><Relationship Id="rId18" Type="http://schemas.openxmlformats.org/officeDocument/2006/relationships/hyperlink" Target="https://zakon.rada.gov.ua/laws/show/875-12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laws/show/3551-12" TargetMode="External"/><Relationship Id="rId17" Type="http://schemas.openxmlformats.org/officeDocument/2006/relationships/hyperlink" Target="https://zakon.rada.gov.ua/laws/show/875-1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2011-1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on.rada.gov.ua/laws/show/203/98-%D0%B2%D1%80" TargetMode="External"/><Relationship Id="rId10" Type="http://schemas.openxmlformats.org/officeDocument/2006/relationships/hyperlink" Target="https://zakon.rada.gov.ua/laws/show/796-12" TargetMode="External"/><Relationship Id="rId19" Type="http://schemas.openxmlformats.org/officeDocument/2006/relationships/hyperlink" Target="https://zakon.rada.gov.ua/laws/show/962-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796-12" TargetMode="External"/><Relationship Id="rId14" Type="http://schemas.openxmlformats.org/officeDocument/2006/relationships/hyperlink" Target="https://zakon.rada.gov.ua/laws/show/2402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67D12-81C8-492B-876B-04710BA4E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HFD</cp:lastModifiedBy>
  <cp:revision>3</cp:revision>
  <cp:lastPrinted>2021-03-22T13:27:00Z</cp:lastPrinted>
  <dcterms:created xsi:type="dcterms:W3CDTF">2021-03-11T07:16:00Z</dcterms:created>
  <dcterms:modified xsi:type="dcterms:W3CDTF">2021-03-22T13:28:00Z</dcterms:modified>
</cp:coreProperties>
</file>