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96E" w:rsidRPr="00D6096E" w:rsidRDefault="00D6096E" w:rsidP="00D6096E">
      <w:pPr>
        <w:spacing w:line="360" w:lineRule="auto"/>
        <w:jc w:val="center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  <w:r w:rsidRPr="00D6096E">
        <w:rPr>
          <w:rFonts w:eastAsia="Times New Roman" w:cs="Times New Roman"/>
          <w:bCs/>
          <w:szCs w:val="28"/>
          <w:lang w:eastAsia="ru-RU"/>
        </w:rPr>
        <w:t>Аналіз</w:t>
      </w:r>
      <w:r w:rsidR="003D60BA">
        <w:rPr>
          <w:rFonts w:eastAsia="Times New Roman" w:cs="Times New Roman"/>
          <w:bCs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bCs/>
          <w:szCs w:val="28"/>
          <w:lang w:eastAsia="ru-RU"/>
        </w:rPr>
        <w:t>регуляторного</w:t>
      </w:r>
      <w:r w:rsidR="003D60BA">
        <w:rPr>
          <w:rFonts w:eastAsia="Times New Roman" w:cs="Times New Roman"/>
          <w:bCs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bCs/>
          <w:szCs w:val="28"/>
          <w:lang w:eastAsia="ru-RU"/>
        </w:rPr>
        <w:t>впливу</w:t>
      </w:r>
    </w:p>
    <w:p w:rsidR="00D6096E" w:rsidRPr="00D6096E" w:rsidRDefault="00D6096E" w:rsidP="00D6096E">
      <w:pPr>
        <w:spacing w:line="360" w:lineRule="auto"/>
        <w:jc w:val="center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bCs/>
          <w:szCs w:val="28"/>
          <w:lang w:eastAsia="ru-RU"/>
        </w:rPr>
        <w:t>проекту</w:t>
      </w:r>
      <w:r w:rsidR="003D60BA">
        <w:rPr>
          <w:rFonts w:eastAsia="Times New Roman" w:cs="Times New Roman"/>
          <w:bCs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bCs/>
          <w:szCs w:val="28"/>
          <w:lang w:eastAsia="ru-RU"/>
        </w:rPr>
        <w:t>рішення</w:t>
      </w:r>
      <w:r w:rsidR="003D60BA">
        <w:rPr>
          <w:rFonts w:eastAsia="Times New Roman" w:cs="Times New Roman"/>
          <w:bCs/>
          <w:szCs w:val="28"/>
          <w:lang w:eastAsia="ru-RU"/>
        </w:rPr>
        <w:t xml:space="preserve"> </w:t>
      </w:r>
      <w:r w:rsidR="001E00CD">
        <w:rPr>
          <w:rFonts w:eastAsia="Times New Roman" w:cs="Times New Roman"/>
          <w:bCs/>
          <w:szCs w:val="28"/>
          <w:lang w:eastAsia="ru-RU"/>
        </w:rPr>
        <w:t xml:space="preserve">виконкому </w:t>
      </w:r>
      <w:r w:rsidRPr="00D6096E">
        <w:rPr>
          <w:rFonts w:eastAsia="Times New Roman" w:cs="Times New Roman"/>
          <w:bCs/>
          <w:szCs w:val="28"/>
          <w:lang w:eastAsia="ru-RU"/>
        </w:rPr>
        <w:t>Гадяцької</w:t>
      </w:r>
      <w:r w:rsidR="003D60BA">
        <w:rPr>
          <w:rFonts w:eastAsia="Times New Roman" w:cs="Times New Roman"/>
          <w:bCs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bCs/>
          <w:szCs w:val="28"/>
          <w:lang w:eastAsia="ru-RU"/>
        </w:rPr>
        <w:t>міської</w:t>
      </w:r>
      <w:r w:rsidR="003D60BA">
        <w:rPr>
          <w:rFonts w:eastAsia="Times New Roman" w:cs="Times New Roman"/>
          <w:bCs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bCs/>
          <w:szCs w:val="28"/>
          <w:lang w:eastAsia="ru-RU"/>
        </w:rPr>
        <w:t>ради</w:t>
      </w:r>
      <w:r w:rsidR="003D60BA">
        <w:rPr>
          <w:rFonts w:eastAsia="Times New Roman" w:cs="Times New Roman"/>
          <w:bCs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bCs/>
          <w:szCs w:val="28"/>
          <w:lang w:eastAsia="ru-RU"/>
        </w:rPr>
        <w:t>«</w:t>
      </w:r>
      <w:r w:rsidRPr="00D6096E">
        <w:rPr>
          <w:rFonts w:cs="Times New Roman"/>
          <w:szCs w:val="28"/>
        </w:rPr>
        <w:t>Про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затвердження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тарифів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на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вивезення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та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захоронення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твердих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побутових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відходів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міському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комунальному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підприємству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«Комунсервіс»</w:t>
      </w:r>
      <w:r w:rsidRPr="00D6096E">
        <w:rPr>
          <w:rFonts w:eastAsia="Times New Roman" w:cs="Times New Roman"/>
          <w:bCs/>
          <w:szCs w:val="28"/>
          <w:lang w:eastAsia="ru-RU"/>
        </w:rPr>
        <w:t>»</w:t>
      </w:r>
    </w:p>
    <w:p w:rsidR="00D6096E" w:rsidRPr="001E00CD" w:rsidRDefault="003D60BA" w:rsidP="003D60BA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1E00CD">
        <w:rPr>
          <w:rFonts w:eastAsia="Times New Roman" w:cs="Times New Roman"/>
          <w:b/>
          <w:bCs/>
          <w:szCs w:val="28"/>
          <w:lang w:eastAsia="ru-RU"/>
        </w:rPr>
        <w:t xml:space="preserve">1. </w:t>
      </w:r>
      <w:r w:rsidR="00D6096E" w:rsidRPr="001E00CD">
        <w:rPr>
          <w:rFonts w:eastAsia="Times New Roman" w:cs="Times New Roman"/>
          <w:b/>
          <w:bCs/>
          <w:szCs w:val="28"/>
          <w:lang w:eastAsia="ru-RU"/>
        </w:rPr>
        <w:t>Визначення</w:t>
      </w:r>
      <w:r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D6096E" w:rsidRPr="001E00CD">
        <w:rPr>
          <w:rFonts w:eastAsia="Times New Roman" w:cs="Times New Roman"/>
          <w:b/>
          <w:bCs/>
          <w:szCs w:val="28"/>
          <w:lang w:eastAsia="ru-RU"/>
        </w:rPr>
        <w:t>та</w:t>
      </w:r>
      <w:r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D6096E" w:rsidRPr="001E00CD">
        <w:rPr>
          <w:rFonts w:eastAsia="Times New Roman" w:cs="Times New Roman"/>
          <w:b/>
          <w:bCs/>
          <w:szCs w:val="28"/>
          <w:lang w:eastAsia="ru-RU"/>
        </w:rPr>
        <w:t>оцінка</w:t>
      </w:r>
      <w:r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D6096E" w:rsidRPr="001E00CD">
        <w:rPr>
          <w:rFonts w:eastAsia="Times New Roman" w:cs="Times New Roman"/>
          <w:b/>
          <w:bCs/>
          <w:szCs w:val="28"/>
          <w:lang w:eastAsia="ru-RU"/>
        </w:rPr>
        <w:t>важливості</w:t>
      </w:r>
      <w:r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D6096E" w:rsidRPr="001E00CD">
        <w:rPr>
          <w:rFonts w:eastAsia="Times New Roman" w:cs="Times New Roman"/>
          <w:b/>
          <w:bCs/>
          <w:szCs w:val="28"/>
          <w:lang w:eastAsia="ru-RU"/>
        </w:rPr>
        <w:t>проблеми</w:t>
      </w:r>
    </w:p>
    <w:p w:rsidR="00D6096E" w:rsidRDefault="00D6096E" w:rsidP="00D6096E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території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Гадяцької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міської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ради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сфері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надання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cs="Times New Roman"/>
          <w:szCs w:val="28"/>
        </w:rPr>
        <w:t>вивезення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та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захоронення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твердих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побутових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відходів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єдиним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виробником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є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міське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комунальне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підприємство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«Комунсервіс».</w:t>
      </w:r>
    </w:p>
    <w:p w:rsidR="00D6096E" w:rsidRDefault="00D6096E" w:rsidP="00D6096E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Утримання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підрозділів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виробництво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комунальних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відбувається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рахунок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коштів,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сплачених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споживачами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-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населенням,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бюджетними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організаціями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847BCE">
        <w:rPr>
          <w:rFonts w:eastAsia="Times New Roman" w:cs="Times New Roman"/>
          <w:szCs w:val="28"/>
          <w:lang w:eastAsia="ru-RU"/>
        </w:rPr>
        <w:t>іншими споживачами</w:t>
      </w:r>
      <w:r>
        <w:rPr>
          <w:rFonts w:eastAsia="Times New Roman" w:cs="Times New Roman"/>
          <w:szCs w:val="28"/>
          <w:lang w:eastAsia="ru-RU"/>
        </w:rPr>
        <w:t>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що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розміщені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території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Гадяцької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міської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ради.</w:t>
      </w:r>
    </w:p>
    <w:p w:rsidR="00D6096E" w:rsidRDefault="00D6096E" w:rsidP="00D6096E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Розрахунок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вартості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cs="Times New Roman"/>
          <w:szCs w:val="28"/>
        </w:rPr>
        <w:t>вивезення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та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захоронення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твердих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побутових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відходів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здійснювався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підставі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діючих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нормативів,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аналізу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фактичних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витрат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2014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року,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цін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енергоносії,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витратні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матеріали,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також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врахуванням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змін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використання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матеріальних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трудових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ресурсів.</w:t>
      </w:r>
    </w:p>
    <w:p w:rsidR="00D6096E" w:rsidRDefault="00D6096E" w:rsidP="00D6096E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Регулювання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викликане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необхідністю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якісного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надання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cs="Times New Roman"/>
          <w:szCs w:val="28"/>
        </w:rPr>
        <w:t>вивезення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та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захоронення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твердих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побутових</w:t>
      </w:r>
      <w:r w:rsidR="003D60BA">
        <w:rPr>
          <w:rFonts w:cs="Times New Roman"/>
          <w:szCs w:val="28"/>
        </w:rPr>
        <w:t xml:space="preserve"> </w:t>
      </w:r>
      <w:r w:rsidRPr="00D6096E">
        <w:rPr>
          <w:rFonts w:cs="Times New Roman"/>
          <w:szCs w:val="28"/>
        </w:rPr>
        <w:t>відходів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–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відшкодування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повної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собівартості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послуг.</w:t>
      </w:r>
    </w:p>
    <w:p w:rsidR="002A5EAB" w:rsidRDefault="00D6096E" w:rsidP="002A5EAB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Чинне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регулювання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(діючі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тарифи)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суперечить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вимогам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Закону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України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«Про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житлово–комунальні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послуги»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від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24.06.2004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року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1875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–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IV,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п.3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ст.31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зазначено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«що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органи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місцевого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самоврядування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затверджують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ціни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(тарифи)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житлово–комунальні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розмірі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економічно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обґрунтованих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витрат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їх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виробництво».</w:t>
      </w:r>
    </w:p>
    <w:p w:rsidR="002A5EAB" w:rsidRDefault="00D6096E" w:rsidP="002A5EAB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Пункти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4,</w:t>
      </w:r>
      <w:r w:rsidR="00EB0E9D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8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ст.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31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цього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Закону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допускають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затвердження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цін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(тарифів)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житлово–комунальні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послуги,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нижче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економічно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обґрунтованих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витрат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без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відповідного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відшкодування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бюджету.</w:t>
      </w:r>
    </w:p>
    <w:p w:rsidR="002A5EAB" w:rsidRDefault="00D6096E" w:rsidP="002A5EAB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Тарифи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комунальні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послуги,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які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надаються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2A5EAB">
        <w:rPr>
          <w:rFonts w:eastAsia="Times New Roman" w:cs="Times New Roman"/>
          <w:szCs w:val="28"/>
          <w:lang w:eastAsia="ru-RU"/>
        </w:rPr>
        <w:t>міським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комунальним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підприємством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«Комунсервіс»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переглядалися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2A5EAB">
        <w:rPr>
          <w:rFonts w:eastAsia="Times New Roman" w:cs="Times New Roman"/>
          <w:szCs w:val="28"/>
          <w:lang w:eastAsia="ru-RU"/>
        </w:rPr>
        <w:t>січ</w:t>
      </w:r>
      <w:r w:rsidRPr="00D6096E">
        <w:rPr>
          <w:rFonts w:eastAsia="Times New Roman" w:cs="Times New Roman"/>
          <w:szCs w:val="28"/>
          <w:lang w:eastAsia="ru-RU"/>
        </w:rPr>
        <w:t>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2015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року.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цей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період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lastRenderedPageBreak/>
        <w:t>значно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зросли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ціни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паливно</w:t>
      </w:r>
      <w:r w:rsidR="002A5EAB">
        <w:rPr>
          <w:rFonts w:eastAsia="Times New Roman" w:cs="Times New Roman"/>
          <w:szCs w:val="28"/>
          <w:lang w:eastAsia="ru-RU"/>
        </w:rPr>
        <w:t>-</w:t>
      </w:r>
      <w:r w:rsidRPr="00D6096E">
        <w:rPr>
          <w:rFonts w:eastAsia="Times New Roman" w:cs="Times New Roman"/>
          <w:szCs w:val="28"/>
          <w:lang w:eastAsia="ru-RU"/>
        </w:rPr>
        <w:t>мастильні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матеріали,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2A5EAB">
        <w:rPr>
          <w:rFonts w:eastAsia="Times New Roman" w:cs="Times New Roman"/>
          <w:szCs w:val="28"/>
          <w:lang w:eastAsia="ru-RU"/>
        </w:rPr>
        <w:t>матеріали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2A5EAB">
        <w:rPr>
          <w:rFonts w:eastAsia="Times New Roman" w:cs="Times New Roman"/>
          <w:szCs w:val="28"/>
          <w:lang w:eastAsia="ru-RU"/>
        </w:rPr>
        <w:t>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2A5EAB">
        <w:rPr>
          <w:rFonts w:eastAsia="Times New Roman" w:cs="Times New Roman"/>
          <w:szCs w:val="28"/>
          <w:lang w:eastAsia="ru-RU"/>
        </w:rPr>
        <w:t>запасні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2A5EAB">
        <w:rPr>
          <w:rFonts w:eastAsia="Times New Roman" w:cs="Times New Roman"/>
          <w:szCs w:val="28"/>
          <w:lang w:eastAsia="ru-RU"/>
        </w:rPr>
        <w:t>частини,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2A5EAB">
        <w:rPr>
          <w:rFonts w:eastAsia="Times New Roman" w:cs="Times New Roman"/>
          <w:szCs w:val="28"/>
          <w:lang w:eastAsia="ru-RU"/>
        </w:rPr>
        <w:t>м</w:t>
      </w:r>
      <w:r w:rsidRPr="00D6096E">
        <w:rPr>
          <w:rFonts w:eastAsia="Times New Roman" w:cs="Times New Roman"/>
          <w:szCs w:val="28"/>
          <w:lang w:eastAsia="ru-RU"/>
        </w:rPr>
        <w:t>інімальна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заробітна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плата</w:t>
      </w:r>
      <w:r w:rsidR="002A5EAB">
        <w:rPr>
          <w:rFonts w:eastAsia="Times New Roman" w:cs="Times New Roman"/>
          <w:szCs w:val="28"/>
          <w:lang w:eastAsia="ru-RU"/>
        </w:rPr>
        <w:t>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2A5EAB">
        <w:rPr>
          <w:rFonts w:eastAsia="Times New Roman" w:cs="Times New Roman"/>
          <w:szCs w:val="28"/>
          <w:lang w:eastAsia="ru-RU"/>
        </w:rPr>
        <w:t>ставка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2A5EAB">
        <w:rPr>
          <w:rFonts w:eastAsia="Times New Roman" w:cs="Times New Roman"/>
          <w:szCs w:val="28"/>
          <w:lang w:eastAsia="ru-RU"/>
        </w:rPr>
        <w:t>екологічного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2A5EAB">
        <w:rPr>
          <w:rFonts w:eastAsia="Times New Roman" w:cs="Times New Roman"/>
          <w:szCs w:val="28"/>
          <w:lang w:eastAsia="ru-RU"/>
        </w:rPr>
        <w:t>податку:</w:t>
      </w:r>
    </w:p>
    <w:p w:rsidR="00EB0E9D" w:rsidRPr="00EB0E9D" w:rsidRDefault="00EB0E9D" w:rsidP="00EB0E9D">
      <w:pPr>
        <w:pStyle w:val="a5"/>
        <w:numPr>
          <w:ilvl w:val="0"/>
          <w:numId w:val="7"/>
        </w:numPr>
        <w:spacing w:line="240" w:lineRule="auto"/>
        <w:jc w:val="both"/>
      </w:pPr>
      <w:r w:rsidRPr="00435145">
        <w:t>Вартість</w:t>
      </w:r>
      <w:r>
        <w:t xml:space="preserve"> </w:t>
      </w:r>
      <w:r w:rsidRPr="00435145">
        <w:t>дизпалива</w:t>
      </w:r>
      <w:r>
        <w:t xml:space="preserve"> </w:t>
      </w:r>
      <w:r w:rsidRPr="00435145">
        <w:t>зросла</w:t>
      </w:r>
      <w:r>
        <w:t xml:space="preserve"> </w:t>
      </w:r>
      <w:r w:rsidRPr="00435145">
        <w:t>на</w:t>
      </w:r>
      <w:r>
        <w:t xml:space="preserve"> </w:t>
      </w:r>
      <w:r w:rsidRPr="00435145">
        <w:t>1</w:t>
      </w:r>
      <w:r>
        <w:t>92</w:t>
      </w:r>
      <w:r w:rsidRPr="00435145">
        <w:t>%</w:t>
      </w:r>
    </w:p>
    <w:p w:rsidR="00EB0E9D" w:rsidRDefault="00EB0E9D" w:rsidP="00EB0E9D">
      <w:pPr>
        <w:spacing w:line="360" w:lineRule="auto"/>
        <w:ind w:firstLine="567"/>
        <w:jc w:val="righ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грн. з ПДВ</w:t>
      </w:r>
    </w:p>
    <w:tbl>
      <w:tblPr>
        <w:tblStyle w:val="a6"/>
        <w:tblW w:w="0" w:type="auto"/>
        <w:tblInd w:w="927" w:type="dxa"/>
        <w:tblLook w:val="04A0" w:firstRow="1" w:lastRow="0" w:firstColumn="1" w:lastColumn="0" w:noHBand="0" w:noVBand="1"/>
      </w:tblPr>
      <w:tblGrid>
        <w:gridCol w:w="1490"/>
        <w:gridCol w:w="1601"/>
        <w:gridCol w:w="1601"/>
        <w:gridCol w:w="1601"/>
        <w:gridCol w:w="1601"/>
        <w:gridCol w:w="1601"/>
      </w:tblGrid>
      <w:tr w:rsidR="005A553E" w:rsidRPr="00435145" w:rsidTr="003D60BA">
        <w:tc>
          <w:tcPr>
            <w:tcW w:w="1490" w:type="dxa"/>
            <w:vAlign w:val="center"/>
          </w:tcPr>
          <w:p w:rsidR="005A553E" w:rsidRPr="00435145" w:rsidRDefault="005A553E" w:rsidP="003D60BA">
            <w:pPr>
              <w:pStyle w:val="a5"/>
              <w:ind w:left="0"/>
              <w:jc w:val="center"/>
            </w:pPr>
          </w:p>
        </w:tc>
        <w:tc>
          <w:tcPr>
            <w:tcW w:w="1601" w:type="dxa"/>
          </w:tcPr>
          <w:p w:rsidR="005A553E" w:rsidRPr="00435145" w:rsidRDefault="005A553E" w:rsidP="003D60BA">
            <w:pPr>
              <w:pStyle w:val="a5"/>
              <w:ind w:left="0"/>
              <w:jc w:val="center"/>
            </w:pPr>
            <w:r>
              <w:t>20.01.2015</w:t>
            </w:r>
          </w:p>
        </w:tc>
        <w:tc>
          <w:tcPr>
            <w:tcW w:w="1601" w:type="dxa"/>
            <w:vAlign w:val="center"/>
          </w:tcPr>
          <w:p w:rsidR="005A553E" w:rsidRPr="00435145" w:rsidRDefault="005A553E" w:rsidP="003D60BA">
            <w:pPr>
              <w:pStyle w:val="a5"/>
              <w:ind w:left="0"/>
              <w:jc w:val="center"/>
            </w:pPr>
            <w:r w:rsidRPr="00435145">
              <w:t>01.01.201</w:t>
            </w:r>
            <w:r>
              <w:t>6</w:t>
            </w:r>
          </w:p>
        </w:tc>
        <w:tc>
          <w:tcPr>
            <w:tcW w:w="1601" w:type="dxa"/>
            <w:vAlign w:val="center"/>
          </w:tcPr>
          <w:p w:rsidR="005A553E" w:rsidRPr="00435145" w:rsidRDefault="005A553E" w:rsidP="003D60BA">
            <w:pPr>
              <w:pStyle w:val="a5"/>
              <w:ind w:left="0"/>
              <w:jc w:val="center"/>
            </w:pPr>
            <w:r w:rsidRPr="00435145">
              <w:t>1</w:t>
            </w:r>
            <w:r>
              <w:t>5</w:t>
            </w:r>
            <w:r w:rsidRPr="00435145">
              <w:t>.0</w:t>
            </w:r>
            <w:r>
              <w:t>2</w:t>
            </w:r>
            <w:r w:rsidRPr="00435145">
              <w:t>.201</w:t>
            </w:r>
            <w:r>
              <w:t>7</w:t>
            </w:r>
          </w:p>
        </w:tc>
        <w:tc>
          <w:tcPr>
            <w:tcW w:w="1601" w:type="dxa"/>
            <w:vAlign w:val="center"/>
          </w:tcPr>
          <w:p w:rsidR="005A553E" w:rsidRPr="00435145" w:rsidRDefault="005A553E" w:rsidP="003D60BA">
            <w:pPr>
              <w:pStyle w:val="a5"/>
              <w:ind w:left="0"/>
              <w:jc w:val="center"/>
            </w:pPr>
            <w:r w:rsidRPr="00435145">
              <w:t>01.0</w:t>
            </w:r>
            <w:r>
              <w:t>1</w:t>
            </w:r>
            <w:r w:rsidRPr="00435145">
              <w:t>.201</w:t>
            </w:r>
            <w:r>
              <w:t>8</w:t>
            </w:r>
          </w:p>
        </w:tc>
        <w:tc>
          <w:tcPr>
            <w:tcW w:w="1601" w:type="dxa"/>
            <w:vAlign w:val="center"/>
          </w:tcPr>
          <w:p w:rsidR="005A553E" w:rsidRPr="00435145" w:rsidRDefault="005A553E" w:rsidP="003D60BA">
            <w:pPr>
              <w:pStyle w:val="a5"/>
              <w:ind w:left="0"/>
              <w:jc w:val="center"/>
            </w:pPr>
            <w:r w:rsidRPr="00435145">
              <w:t>01.</w:t>
            </w:r>
            <w:r>
              <w:t>11</w:t>
            </w:r>
            <w:r w:rsidRPr="00435145">
              <w:t>.201</w:t>
            </w:r>
            <w:r>
              <w:t>8</w:t>
            </w:r>
          </w:p>
        </w:tc>
      </w:tr>
      <w:tr w:rsidR="005A553E" w:rsidRPr="00435145" w:rsidTr="003D60BA">
        <w:tc>
          <w:tcPr>
            <w:tcW w:w="1490" w:type="dxa"/>
            <w:vAlign w:val="center"/>
          </w:tcPr>
          <w:p w:rsidR="005A553E" w:rsidRPr="00435145" w:rsidRDefault="005A553E" w:rsidP="003D60BA">
            <w:pPr>
              <w:pStyle w:val="a5"/>
              <w:ind w:left="0"/>
              <w:jc w:val="center"/>
            </w:pPr>
            <w:r w:rsidRPr="00435145">
              <w:t>ДП</w:t>
            </w:r>
          </w:p>
        </w:tc>
        <w:tc>
          <w:tcPr>
            <w:tcW w:w="1601" w:type="dxa"/>
          </w:tcPr>
          <w:p w:rsidR="005A553E" w:rsidRDefault="005A553E" w:rsidP="003D60BA">
            <w:pPr>
              <w:pStyle w:val="a5"/>
              <w:ind w:left="0"/>
              <w:jc w:val="center"/>
            </w:pPr>
            <w:r>
              <w:t>16,59</w:t>
            </w:r>
          </w:p>
        </w:tc>
        <w:tc>
          <w:tcPr>
            <w:tcW w:w="1601" w:type="dxa"/>
            <w:vAlign w:val="center"/>
          </w:tcPr>
          <w:p w:rsidR="005A553E" w:rsidRPr="00435145" w:rsidRDefault="005A553E" w:rsidP="003D60BA">
            <w:pPr>
              <w:pStyle w:val="a5"/>
              <w:ind w:left="0"/>
              <w:jc w:val="center"/>
            </w:pPr>
            <w:r>
              <w:t>17,38</w:t>
            </w:r>
          </w:p>
        </w:tc>
        <w:tc>
          <w:tcPr>
            <w:tcW w:w="1601" w:type="dxa"/>
            <w:vAlign w:val="center"/>
          </w:tcPr>
          <w:p w:rsidR="005A553E" w:rsidRPr="00435145" w:rsidRDefault="005A553E" w:rsidP="003D60BA">
            <w:pPr>
              <w:pStyle w:val="a5"/>
              <w:ind w:left="0"/>
              <w:jc w:val="center"/>
            </w:pPr>
            <w:r>
              <w:t>21,99</w:t>
            </w:r>
          </w:p>
        </w:tc>
        <w:tc>
          <w:tcPr>
            <w:tcW w:w="1601" w:type="dxa"/>
            <w:vAlign w:val="center"/>
          </w:tcPr>
          <w:p w:rsidR="005A553E" w:rsidRPr="00435145" w:rsidRDefault="005A553E" w:rsidP="003D60BA">
            <w:pPr>
              <w:pStyle w:val="a5"/>
              <w:ind w:left="0"/>
              <w:jc w:val="center"/>
            </w:pPr>
            <w:r>
              <w:t>27,49</w:t>
            </w:r>
          </w:p>
        </w:tc>
        <w:tc>
          <w:tcPr>
            <w:tcW w:w="1601" w:type="dxa"/>
            <w:vAlign w:val="center"/>
          </w:tcPr>
          <w:p w:rsidR="005A553E" w:rsidRPr="00435145" w:rsidRDefault="005A553E" w:rsidP="003D60BA">
            <w:pPr>
              <w:pStyle w:val="a5"/>
              <w:ind w:left="0"/>
              <w:jc w:val="center"/>
            </w:pPr>
            <w:r>
              <w:t>31,79</w:t>
            </w:r>
          </w:p>
        </w:tc>
      </w:tr>
    </w:tbl>
    <w:p w:rsidR="00EB0E9D" w:rsidRDefault="00EB0E9D" w:rsidP="00824D17">
      <w:pPr>
        <w:spacing w:after="80" w:line="240" w:lineRule="auto"/>
        <w:ind w:firstLine="993"/>
        <w:jc w:val="both"/>
      </w:pPr>
    </w:p>
    <w:p w:rsidR="005A553E" w:rsidRPr="00435145" w:rsidRDefault="005A553E" w:rsidP="00EB0E9D">
      <w:pPr>
        <w:pStyle w:val="a5"/>
        <w:numPr>
          <w:ilvl w:val="0"/>
          <w:numId w:val="7"/>
        </w:numPr>
        <w:spacing w:after="80" w:line="240" w:lineRule="auto"/>
        <w:jc w:val="both"/>
      </w:pPr>
      <w:r w:rsidRPr="00435145">
        <w:t>збільшення</w:t>
      </w:r>
      <w:r w:rsidR="003D60BA">
        <w:t xml:space="preserve"> </w:t>
      </w:r>
      <w:r w:rsidRPr="00435145">
        <w:t>законодавчо</w:t>
      </w:r>
      <w:r w:rsidR="003D60BA">
        <w:t xml:space="preserve"> </w:t>
      </w:r>
      <w:r w:rsidRPr="00435145">
        <w:t>встановленого</w:t>
      </w:r>
      <w:r w:rsidR="003D60BA">
        <w:t xml:space="preserve"> </w:t>
      </w:r>
      <w:r w:rsidRPr="00435145">
        <w:t>розміру</w:t>
      </w:r>
      <w:r w:rsidR="003D60BA">
        <w:t xml:space="preserve"> </w:t>
      </w:r>
      <w:r>
        <w:t>прожиткового</w:t>
      </w:r>
      <w:r w:rsidR="003D60BA">
        <w:t xml:space="preserve"> </w:t>
      </w:r>
      <w:r>
        <w:t>мінімуму</w:t>
      </w:r>
      <w:r w:rsidR="003D60BA">
        <w:t xml:space="preserve"> </w:t>
      </w:r>
      <w:r w:rsidRPr="00435145">
        <w:t>протягом</w:t>
      </w:r>
      <w:r w:rsidR="003D60BA">
        <w:t xml:space="preserve"> </w:t>
      </w:r>
      <w:r w:rsidRPr="00435145">
        <w:t>201</w:t>
      </w:r>
      <w:r>
        <w:t>6</w:t>
      </w:r>
      <w:r w:rsidRPr="00435145">
        <w:t>-201</w:t>
      </w:r>
      <w:r>
        <w:t>8</w:t>
      </w:r>
      <w:r w:rsidRPr="00435145">
        <w:t>рр.,</w:t>
      </w:r>
      <w:r w:rsidR="003D60BA">
        <w:t xml:space="preserve"> </w:t>
      </w:r>
      <w:r w:rsidRPr="00435145">
        <w:t>а</w:t>
      </w:r>
      <w:r w:rsidR="003D60BA">
        <w:t xml:space="preserve"> </w:t>
      </w:r>
      <w:r w:rsidRPr="00435145">
        <w:t>саме:</w:t>
      </w:r>
    </w:p>
    <w:p w:rsidR="005A553E" w:rsidRPr="00435145" w:rsidRDefault="005A553E" w:rsidP="005A553E">
      <w:pPr>
        <w:pStyle w:val="a5"/>
        <w:spacing w:line="240" w:lineRule="auto"/>
        <w:ind w:left="927"/>
        <w:jc w:val="both"/>
      </w:pPr>
      <w:r>
        <w:t>з</w:t>
      </w:r>
      <w:r w:rsidR="003D60BA">
        <w:t xml:space="preserve"> </w:t>
      </w:r>
      <w:r>
        <w:t>січня</w:t>
      </w:r>
      <w:r w:rsidR="003D60BA">
        <w:t xml:space="preserve"> </w:t>
      </w:r>
      <w:r>
        <w:t>2016</w:t>
      </w:r>
      <w:r w:rsidR="003D60BA">
        <w:t xml:space="preserve"> </w:t>
      </w:r>
      <w:r>
        <w:t>року</w:t>
      </w:r>
      <w:r w:rsidR="003D60BA">
        <w:t xml:space="preserve"> </w:t>
      </w:r>
      <w:r>
        <w:t>-</w:t>
      </w:r>
      <w:r w:rsidR="003D60BA">
        <w:t xml:space="preserve"> </w:t>
      </w:r>
      <w:r>
        <w:t>1378,00</w:t>
      </w:r>
      <w:r w:rsidR="003D60BA">
        <w:t xml:space="preserve"> </w:t>
      </w:r>
      <w:r w:rsidRPr="00435145">
        <w:t>грн.;</w:t>
      </w:r>
    </w:p>
    <w:p w:rsidR="005A553E" w:rsidRPr="00435145" w:rsidRDefault="005A553E" w:rsidP="005A553E">
      <w:pPr>
        <w:pStyle w:val="a5"/>
        <w:spacing w:line="240" w:lineRule="auto"/>
        <w:ind w:left="927"/>
        <w:jc w:val="both"/>
      </w:pPr>
      <w:r>
        <w:t>з</w:t>
      </w:r>
      <w:r w:rsidR="003D60BA">
        <w:t xml:space="preserve"> </w:t>
      </w:r>
      <w:r>
        <w:t>січня</w:t>
      </w:r>
      <w:r w:rsidR="003D60BA">
        <w:t xml:space="preserve"> </w:t>
      </w:r>
      <w:r w:rsidRPr="00435145">
        <w:t>201</w:t>
      </w:r>
      <w:r>
        <w:t>7</w:t>
      </w:r>
      <w:r w:rsidR="003D60BA">
        <w:t xml:space="preserve"> </w:t>
      </w:r>
      <w:r w:rsidRPr="00435145">
        <w:t>року</w:t>
      </w:r>
      <w:r w:rsidR="003D60BA">
        <w:t xml:space="preserve"> </w:t>
      </w:r>
      <w:r>
        <w:t>-</w:t>
      </w:r>
      <w:r w:rsidR="003D60BA">
        <w:t xml:space="preserve"> </w:t>
      </w:r>
      <w:r>
        <w:t>1600</w:t>
      </w:r>
      <w:r w:rsidRPr="00435145">
        <w:t>,00</w:t>
      </w:r>
      <w:r w:rsidR="003D60BA">
        <w:t xml:space="preserve"> </w:t>
      </w:r>
      <w:r w:rsidRPr="00435145">
        <w:t>грн.;</w:t>
      </w:r>
    </w:p>
    <w:p w:rsidR="005A553E" w:rsidRDefault="005A553E" w:rsidP="005A553E">
      <w:pPr>
        <w:pStyle w:val="a5"/>
        <w:spacing w:line="240" w:lineRule="auto"/>
        <w:ind w:left="927"/>
        <w:jc w:val="both"/>
      </w:pPr>
      <w:r>
        <w:t>з</w:t>
      </w:r>
      <w:r w:rsidR="003D60BA">
        <w:t xml:space="preserve"> </w:t>
      </w:r>
      <w:r>
        <w:t>січня</w:t>
      </w:r>
      <w:r w:rsidR="003D60BA">
        <w:t xml:space="preserve"> </w:t>
      </w:r>
      <w:r w:rsidRPr="00435145">
        <w:t>201</w:t>
      </w:r>
      <w:r>
        <w:t>8</w:t>
      </w:r>
      <w:r w:rsidR="003D60BA">
        <w:t xml:space="preserve"> </w:t>
      </w:r>
      <w:r w:rsidRPr="00435145">
        <w:t>року</w:t>
      </w:r>
      <w:r w:rsidR="003D60BA">
        <w:t xml:space="preserve"> </w:t>
      </w:r>
      <w:r>
        <w:t>-</w:t>
      </w:r>
      <w:r w:rsidR="003D60BA">
        <w:t xml:space="preserve"> </w:t>
      </w:r>
      <w:r>
        <w:t>1762</w:t>
      </w:r>
      <w:r w:rsidRPr="00435145">
        <w:t>,00</w:t>
      </w:r>
      <w:r w:rsidR="003D60BA">
        <w:t xml:space="preserve"> </w:t>
      </w:r>
      <w:r w:rsidRPr="00435145">
        <w:t>грн.</w:t>
      </w:r>
      <w:r w:rsidR="003D60BA">
        <w:t xml:space="preserve"> </w:t>
      </w:r>
    </w:p>
    <w:p w:rsidR="00824D17" w:rsidRDefault="005A553E" w:rsidP="00EB0E9D">
      <w:pPr>
        <w:spacing w:line="240" w:lineRule="auto"/>
        <w:jc w:val="both"/>
      </w:pPr>
      <w:r>
        <w:t>м</w:t>
      </w:r>
      <w:r w:rsidRPr="00435145">
        <w:t>інімальна</w:t>
      </w:r>
      <w:r w:rsidR="003D60BA">
        <w:t xml:space="preserve"> </w:t>
      </w:r>
      <w:r w:rsidRPr="00435145">
        <w:t>заробітна</w:t>
      </w:r>
      <w:r w:rsidR="003D60BA">
        <w:t xml:space="preserve"> </w:t>
      </w:r>
      <w:r w:rsidRPr="00435145">
        <w:t>плата</w:t>
      </w:r>
      <w:r w:rsidR="003D60BA">
        <w:t xml:space="preserve"> </w:t>
      </w:r>
      <w:r w:rsidRPr="00435145">
        <w:t>за</w:t>
      </w:r>
      <w:r w:rsidR="003D60BA">
        <w:t xml:space="preserve"> </w:t>
      </w:r>
      <w:r w:rsidRPr="00435145">
        <w:t>період</w:t>
      </w:r>
      <w:r w:rsidR="003D60BA">
        <w:t xml:space="preserve"> </w:t>
      </w:r>
      <w:r w:rsidRPr="00435145">
        <w:t>201</w:t>
      </w:r>
      <w:r>
        <w:t>6</w:t>
      </w:r>
      <w:r w:rsidRPr="00435145">
        <w:t>-201</w:t>
      </w:r>
      <w:r>
        <w:t>8</w:t>
      </w:r>
      <w:r w:rsidR="003D60BA">
        <w:t xml:space="preserve"> </w:t>
      </w:r>
      <w:r w:rsidRPr="00435145">
        <w:t>рр.</w:t>
      </w:r>
      <w:r w:rsidR="003D60BA">
        <w:t xml:space="preserve"> </w:t>
      </w:r>
      <w:r w:rsidRPr="00435145">
        <w:t>виросла</w:t>
      </w:r>
      <w:r w:rsidR="003D60BA">
        <w:t xml:space="preserve"> </w:t>
      </w:r>
      <w:r w:rsidRPr="00435145">
        <w:t>на</w:t>
      </w:r>
      <w:r w:rsidR="003D60BA">
        <w:t xml:space="preserve"> </w:t>
      </w:r>
      <w:r>
        <w:t>270</w:t>
      </w:r>
      <w:r w:rsidRPr="00435145">
        <w:t>%,</w:t>
      </w:r>
      <w:r w:rsidR="003D60BA">
        <w:t xml:space="preserve"> </w:t>
      </w:r>
      <w:r w:rsidRPr="00435145">
        <w:t>тоді</w:t>
      </w:r>
      <w:r w:rsidR="003D60BA">
        <w:t xml:space="preserve"> </w:t>
      </w:r>
      <w:r w:rsidRPr="00435145">
        <w:t>як</w:t>
      </w:r>
      <w:r w:rsidR="003D60BA">
        <w:t xml:space="preserve"> </w:t>
      </w:r>
      <w:r w:rsidRPr="00435145">
        <w:t>фактична</w:t>
      </w:r>
      <w:r w:rsidR="003D60BA">
        <w:t xml:space="preserve"> </w:t>
      </w:r>
      <w:r w:rsidRPr="00435145">
        <w:t>заробітна</w:t>
      </w:r>
      <w:r w:rsidR="003D60BA">
        <w:t xml:space="preserve"> </w:t>
      </w:r>
      <w:r w:rsidRPr="00435145">
        <w:t>плата</w:t>
      </w:r>
      <w:r w:rsidR="003D60BA">
        <w:t xml:space="preserve"> </w:t>
      </w:r>
      <w:r w:rsidRPr="00435145">
        <w:t>за</w:t>
      </w:r>
      <w:r w:rsidR="003D60BA">
        <w:t xml:space="preserve"> </w:t>
      </w:r>
      <w:r w:rsidRPr="00435145">
        <w:t>цей</w:t>
      </w:r>
      <w:r w:rsidR="003D60BA">
        <w:t xml:space="preserve"> </w:t>
      </w:r>
      <w:r w:rsidRPr="00435145">
        <w:t>період</w:t>
      </w:r>
      <w:r w:rsidR="003D60BA">
        <w:t xml:space="preserve"> </w:t>
      </w:r>
      <w:r w:rsidRPr="00435145">
        <w:t>зросла</w:t>
      </w:r>
      <w:r w:rsidR="003D60BA">
        <w:t xml:space="preserve"> </w:t>
      </w:r>
      <w:r w:rsidRPr="00435145">
        <w:t>на</w:t>
      </w:r>
      <w:r w:rsidR="003D60BA">
        <w:t xml:space="preserve"> </w:t>
      </w:r>
      <w:r w:rsidRPr="00435145">
        <w:t>1</w:t>
      </w:r>
      <w:r>
        <w:t>75</w:t>
      </w:r>
      <w:r w:rsidRPr="00435145">
        <w:t>%.</w:t>
      </w:r>
    </w:p>
    <w:p w:rsidR="005A553E" w:rsidRDefault="005A553E" w:rsidP="00EB0E9D">
      <w:pPr>
        <w:pStyle w:val="a5"/>
        <w:numPr>
          <w:ilvl w:val="0"/>
          <w:numId w:val="7"/>
        </w:numPr>
        <w:spacing w:after="80" w:line="240" w:lineRule="auto"/>
        <w:jc w:val="both"/>
      </w:pPr>
      <w:r w:rsidRPr="00435145">
        <w:t>збільшення</w:t>
      </w:r>
      <w:r w:rsidR="003D60BA">
        <w:t xml:space="preserve"> </w:t>
      </w:r>
      <w:r w:rsidRPr="00435145">
        <w:t>ставки</w:t>
      </w:r>
      <w:r w:rsidR="003D60BA">
        <w:t xml:space="preserve"> </w:t>
      </w:r>
      <w:r w:rsidRPr="00435145">
        <w:t>екологічного</w:t>
      </w:r>
      <w:r w:rsidR="003D60BA">
        <w:t xml:space="preserve"> </w:t>
      </w:r>
      <w:r w:rsidRPr="00435145">
        <w:t>податку</w:t>
      </w:r>
      <w:r>
        <w:t>:</w:t>
      </w:r>
      <w:r w:rsidR="003D60BA">
        <w:t xml:space="preserve"> </w:t>
      </w:r>
    </w:p>
    <w:p w:rsidR="005A553E" w:rsidRDefault="005A553E" w:rsidP="005A553E">
      <w:pPr>
        <w:pStyle w:val="a5"/>
        <w:spacing w:line="240" w:lineRule="auto"/>
        <w:ind w:left="927"/>
        <w:jc w:val="both"/>
        <w:rPr>
          <w:szCs w:val="28"/>
        </w:rPr>
      </w:pPr>
      <w:r>
        <w:t>з</w:t>
      </w:r>
      <w:r w:rsidR="003D60BA">
        <w:rPr>
          <w:szCs w:val="28"/>
        </w:rPr>
        <w:t xml:space="preserve"> </w:t>
      </w:r>
      <w:r w:rsidRPr="004554C1">
        <w:rPr>
          <w:szCs w:val="28"/>
        </w:rPr>
        <w:t>січня</w:t>
      </w:r>
      <w:r w:rsidR="003D60BA">
        <w:rPr>
          <w:szCs w:val="28"/>
        </w:rPr>
        <w:t xml:space="preserve"> </w:t>
      </w:r>
      <w:r w:rsidRPr="004554C1">
        <w:rPr>
          <w:szCs w:val="28"/>
        </w:rPr>
        <w:t>201</w:t>
      </w:r>
      <w:r>
        <w:rPr>
          <w:szCs w:val="28"/>
        </w:rPr>
        <w:t>6</w:t>
      </w:r>
      <w:r w:rsidR="003D60BA">
        <w:rPr>
          <w:szCs w:val="28"/>
        </w:rPr>
        <w:t xml:space="preserve"> </w:t>
      </w:r>
      <w:r w:rsidRPr="004554C1">
        <w:rPr>
          <w:szCs w:val="28"/>
        </w:rPr>
        <w:t>року</w:t>
      </w:r>
      <w:r w:rsidR="003D60BA">
        <w:rPr>
          <w:szCs w:val="28"/>
        </w:rPr>
        <w:t xml:space="preserve"> </w:t>
      </w:r>
      <w:r w:rsidRPr="004554C1">
        <w:rPr>
          <w:szCs w:val="28"/>
        </w:rPr>
        <w:t>ставк</w:t>
      </w:r>
      <w:r>
        <w:rPr>
          <w:szCs w:val="28"/>
        </w:rPr>
        <w:t>а</w:t>
      </w:r>
      <w:r w:rsidR="003D60BA">
        <w:rPr>
          <w:szCs w:val="28"/>
        </w:rPr>
        <w:t xml:space="preserve"> </w:t>
      </w:r>
      <w:r w:rsidRPr="004554C1">
        <w:rPr>
          <w:szCs w:val="28"/>
        </w:rPr>
        <w:t>екологічного</w:t>
      </w:r>
      <w:r w:rsidR="003D60BA">
        <w:rPr>
          <w:szCs w:val="28"/>
        </w:rPr>
        <w:t xml:space="preserve"> </w:t>
      </w:r>
      <w:r w:rsidRPr="004554C1">
        <w:rPr>
          <w:szCs w:val="28"/>
        </w:rPr>
        <w:t>податку</w:t>
      </w:r>
      <w:r w:rsidR="003D60BA">
        <w:rPr>
          <w:szCs w:val="28"/>
        </w:rPr>
        <w:t xml:space="preserve"> </w:t>
      </w:r>
      <w:r w:rsidRPr="004554C1">
        <w:rPr>
          <w:szCs w:val="28"/>
        </w:rPr>
        <w:t>станов</w:t>
      </w:r>
      <w:r>
        <w:rPr>
          <w:szCs w:val="28"/>
        </w:rPr>
        <w:t>ила</w:t>
      </w:r>
      <w:r w:rsidR="003D60BA">
        <w:rPr>
          <w:szCs w:val="28"/>
        </w:rPr>
        <w:t xml:space="preserve"> </w:t>
      </w:r>
      <w:r>
        <w:rPr>
          <w:szCs w:val="28"/>
        </w:rPr>
        <w:t>4,02;</w:t>
      </w:r>
      <w:r w:rsidR="003D60BA">
        <w:rPr>
          <w:szCs w:val="28"/>
        </w:rPr>
        <w:t xml:space="preserve"> </w:t>
      </w:r>
    </w:p>
    <w:p w:rsidR="005A553E" w:rsidRDefault="005A553E" w:rsidP="005A553E">
      <w:pPr>
        <w:pStyle w:val="a5"/>
        <w:spacing w:line="240" w:lineRule="auto"/>
        <w:ind w:left="927"/>
        <w:jc w:val="both"/>
        <w:rPr>
          <w:szCs w:val="28"/>
        </w:rPr>
      </w:pPr>
      <w:r>
        <w:rPr>
          <w:szCs w:val="28"/>
        </w:rPr>
        <w:t>з</w:t>
      </w:r>
      <w:r w:rsidR="003D60BA">
        <w:rPr>
          <w:szCs w:val="28"/>
        </w:rPr>
        <w:t xml:space="preserve"> </w:t>
      </w:r>
      <w:r>
        <w:rPr>
          <w:szCs w:val="28"/>
        </w:rPr>
        <w:t>січня</w:t>
      </w:r>
      <w:r w:rsidR="003D60BA">
        <w:rPr>
          <w:szCs w:val="28"/>
        </w:rPr>
        <w:t xml:space="preserve"> </w:t>
      </w:r>
      <w:r>
        <w:rPr>
          <w:szCs w:val="28"/>
        </w:rPr>
        <w:t>2017</w:t>
      </w:r>
      <w:r w:rsidR="003D60BA">
        <w:rPr>
          <w:szCs w:val="28"/>
        </w:rPr>
        <w:t xml:space="preserve"> </w:t>
      </w:r>
      <w:r>
        <w:rPr>
          <w:szCs w:val="28"/>
        </w:rPr>
        <w:t>року</w:t>
      </w:r>
      <w:r w:rsidR="003D60BA">
        <w:rPr>
          <w:szCs w:val="28"/>
        </w:rPr>
        <w:t xml:space="preserve"> </w:t>
      </w:r>
      <w:r>
        <w:rPr>
          <w:szCs w:val="28"/>
        </w:rPr>
        <w:t>-</w:t>
      </w:r>
      <w:r w:rsidR="003D60BA">
        <w:rPr>
          <w:szCs w:val="28"/>
        </w:rPr>
        <w:t xml:space="preserve"> </w:t>
      </w:r>
      <w:r>
        <w:rPr>
          <w:szCs w:val="28"/>
        </w:rPr>
        <w:t>4,5;</w:t>
      </w:r>
    </w:p>
    <w:p w:rsidR="005A553E" w:rsidRPr="004554C1" w:rsidRDefault="005A553E" w:rsidP="005A553E">
      <w:pPr>
        <w:pStyle w:val="a5"/>
        <w:spacing w:line="240" w:lineRule="auto"/>
        <w:ind w:left="927"/>
        <w:jc w:val="both"/>
      </w:pPr>
      <w:r>
        <w:rPr>
          <w:szCs w:val="28"/>
        </w:rPr>
        <w:t>з</w:t>
      </w:r>
      <w:r w:rsidR="003D60BA">
        <w:rPr>
          <w:szCs w:val="28"/>
        </w:rPr>
        <w:t xml:space="preserve"> </w:t>
      </w:r>
      <w:r>
        <w:rPr>
          <w:szCs w:val="28"/>
        </w:rPr>
        <w:t>січня</w:t>
      </w:r>
      <w:r w:rsidR="003D60BA">
        <w:rPr>
          <w:szCs w:val="28"/>
        </w:rPr>
        <w:t xml:space="preserve"> </w:t>
      </w:r>
      <w:r>
        <w:rPr>
          <w:szCs w:val="28"/>
        </w:rPr>
        <w:t>2018</w:t>
      </w:r>
      <w:r w:rsidR="003D60BA">
        <w:rPr>
          <w:szCs w:val="28"/>
        </w:rPr>
        <w:t xml:space="preserve"> </w:t>
      </w:r>
      <w:r>
        <w:rPr>
          <w:szCs w:val="28"/>
        </w:rPr>
        <w:t>року</w:t>
      </w:r>
      <w:r w:rsidR="003D60BA">
        <w:rPr>
          <w:szCs w:val="28"/>
        </w:rPr>
        <w:t xml:space="preserve"> </w:t>
      </w:r>
      <w:r>
        <w:rPr>
          <w:szCs w:val="28"/>
        </w:rPr>
        <w:t>–</w:t>
      </w:r>
      <w:r w:rsidR="003D60BA">
        <w:rPr>
          <w:szCs w:val="28"/>
        </w:rPr>
        <w:t xml:space="preserve"> </w:t>
      </w:r>
      <w:r>
        <w:rPr>
          <w:szCs w:val="28"/>
        </w:rPr>
        <w:t>5,0</w:t>
      </w:r>
      <w:r>
        <w:t>.</w:t>
      </w:r>
    </w:p>
    <w:p w:rsidR="002A5EAB" w:rsidRDefault="002A5EAB" w:rsidP="002A5EAB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5A553E" w:rsidRDefault="00D6096E" w:rsidP="005A553E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Підприємство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відчуває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нестачу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власних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обігових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коштів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(отриманих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від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реалізації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наданих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послуг),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що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подальшому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може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призвести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виникнення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заборгованості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податках</w:t>
      </w:r>
      <w:r w:rsidR="005A553E">
        <w:rPr>
          <w:rFonts w:eastAsia="Times New Roman" w:cs="Times New Roman"/>
          <w:szCs w:val="28"/>
          <w:lang w:eastAsia="ru-RU"/>
        </w:rPr>
        <w:t>: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податку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доходів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фізичних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осіб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податку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додану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вартість</w:t>
      </w:r>
      <w:r w:rsidR="005A553E">
        <w:rPr>
          <w:rFonts w:eastAsia="Times New Roman" w:cs="Times New Roman"/>
          <w:szCs w:val="28"/>
          <w:lang w:eastAsia="ru-RU"/>
        </w:rPr>
        <w:t>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5A553E">
        <w:rPr>
          <w:rFonts w:eastAsia="Times New Roman" w:cs="Times New Roman"/>
          <w:szCs w:val="28"/>
          <w:lang w:eastAsia="ru-RU"/>
        </w:rPr>
        <w:t>екологічного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5A553E">
        <w:rPr>
          <w:rFonts w:eastAsia="Times New Roman" w:cs="Times New Roman"/>
          <w:szCs w:val="28"/>
          <w:lang w:eastAsia="ru-RU"/>
        </w:rPr>
        <w:t>податку</w:t>
      </w:r>
      <w:r w:rsidRPr="00D6096E">
        <w:rPr>
          <w:rFonts w:eastAsia="Times New Roman" w:cs="Times New Roman"/>
          <w:szCs w:val="28"/>
          <w:lang w:eastAsia="ru-RU"/>
        </w:rPr>
        <w:t>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платежах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Пенсійного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фонду,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також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скорочення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робочого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штату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працівників.</w:t>
      </w:r>
    </w:p>
    <w:p w:rsidR="005A553E" w:rsidRDefault="00D6096E" w:rsidP="005A553E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метою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запобігання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ситуації,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коли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діючі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тарифи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відповідають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рівню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фактичних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витрат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5A553E">
        <w:rPr>
          <w:rFonts w:eastAsia="Times New Roman" w:cs="Times New Roman"/>
          <w:szCs w:val="28"/>
          <w:lang w:eastAsia="ru-RU"/>
        </w:rPr>
        <w:t>надання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рахунок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зміни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зони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обслуговування,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цін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5A553E">
        <w:rPr>
          <w:rFonts w:eastAsia="Times New Roman" w:cs="Times New Roman"/>
          <w:szCs w:val="28"/>
          <w:lang w:eastAsia="ru-RU"/>
        </w:rPr>
        <w:t>ПММ</w:t>
      </w:r>
      <w:r w:rsidRPr="00D6096E">
        <w:rPr>
          <w:rFonts w:eastAsia="Times New Roman" w:cs="Times New Roman"/>
          <w:szCs w:val="28"/>
          <w:lang w:eastAsia="ru-RU"/>
        </w:rPr>
        <w:t>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амортизаційних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відрахувань,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росту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чисельності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мінімальної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заробітної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плати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виникла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потреба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вирішення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питання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затвердження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тарифів.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Як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виявилося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практиці,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зростання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цін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країні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всі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матеріали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негативно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впливає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фінансове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становище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підприємства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є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загрозою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для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подальшого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своєчасного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надання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якісних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послуг.</w:t>
      </w:r>
    </w:p>
    <w:p w:rsidR="00D6096E" w:rsidRPr="00D6096E" w:rsidRDefault="005A553E" w:rsidP="005A553E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proofErr w:type="spellStart"/>
      <w:r>
        <w:rPr>
          <w:rFonts w:eastAsia="Times New Roman" w:cs="Times New Roman"/>
          <w:szCs w:val="28"/>
          <w:lang w:eastAsia="ru-RU"/>
        </w:rPr>
        <w:t>Суб</w:t>
      </w:r>
      <w:proofErr w:type="spellEnd"/>
      <w:r>
        <w:rPr>
          <w:rFonts w:eastAsia="Times New Roman" w:cs="Times New Roman"/>
          <w:szCs w:val="28"/>
          <w:lang w:val="en-US" w:eastAsia="ru-RU"/>
        </w:rPr>
        <w:t>’</w:t>
      </w:r>
      <w:proofErr w:type="spellStart"/>
      <w:r w:rsidR="00D6096E" w:rsidRPr="00D6096E">
        <w:rPr>
          <w:rFonts w:eastAsia="Times New Roman" w:cs="Times New Roman"/>
          <w:szCs w:val="28"/>
          <w:lang w:eastAsia="ru-RU"/>
        </w:rPr>
        <w:t>єкти</w:t>
      </w:r>
      <w:proofErr w:type="spellEnd"/>
      <w:r w:rsidR="00D6096E" w:rsidRPr="00D6096E">
        <w:rPr>
          <w:rFonts w:eastAsia="Times New Roman" w:cs="Times New Roman"/>
          <w:szCs w:val="28"/>
          <w:lang w:eastAsia="ru-RU"/>
        </w:rPr>
        <w:t>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D6096E">
        <w:rPr>
          <w:rFonts w:eastAsia="Times New Roman" w:cs="Times New Roman"/>
          <w:szCs w:val="28"/>
          <w:lang w:eastAsia="ru-RU"/>
        </w:rPr>
        <w:t>яких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D6096E">
        <w:rPr>
          <w:rFonts w:eastAsia="Times New Roman" w:cs="Times New Roman"/>
          <w:szCs w:val="28"/>
          <w:lang w:eastAsia="ru-RU"/>
        </w:rPr>
        <w:t>проблема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D6096E">
        <w:rPr>
          <w:rFonts w:eastAsia="Times New Roman" w:cs="Times New Roman"/>
          <w:szCs w:val="28"/>
          <w:lang w:eastAsia="ru-RU"/>
        </w:rPr>
        <w:t>справляє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D6096E">
        <w:rPr>
          <w:rFonts w:eastAsia="Times New Roman" w:cs="Times New Roman"/>
          <w:szCs w:val="28"/>
          <w:lang w:eastAsia="ru-RU"/>
        </w:rPr>
        <w:t>негативний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D6096E">
        <w:rPr>
          <w:rFonts w:eastAsia="Times New Roman" w:cs="Times New Roman"/>
          <w:szCs w:val="28"/>
          <w:lang w:eastAsia="ru-RU"/>
        </w:rPr>
        <w:t>вплив</w:t>
      </w:r>
      <w:r>
        <w:rPr>
          <w:rFonts w:eastAsia="Times New Roman" w:cs="Times New Roman"/>
          <w:szCs w:val="28"/>
          <w:lang w:eastAsia="ru-RU"/>
        </w:rPr>
        <w:t>:</w:t>
      </w:r>
    </w:p>
    <w:p w:rsidR="002426A5" w:rsidRDefault="005A553E" w:rsidP="00D6096E">
      <w:pPr>
        <w:pStyle w:val="a5"/>
        <w:numPr>
          <w:ilvl w:val="0"/>
          <w:numId w:val="6"/>
        </w:num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с</w:t>
      </w:r>
      <w:r w:rsidR="00D6096E" w:rsidRPr="005A553E">
        <w:rPr>
          <w:rFonts w:eastAsia="Times New Roman" w:cs="Times New Roman"/>
          <w:szCs w:val="28"/>
          <w:lang w:eastAsia="ru-RU"/>
        </w:rPr>
        <w:t>поживачі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5A553E">
        <w:rPr>
          <w:rFonts w:eastAsia="Times New Roman" w:cs="Times New Roman"/>
          <w:szCs w:val="28"/>
          <w:lang w:eastAsia="ru-RU"/>
        </w:rPr>
        <w:t>послуг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5A553E">
        <w:rPr>
          <w:rFonts w:eastAsia="Times New Roman" w:cs="Times New Roman"/>
          <w:szCs w:val="28"/>
          <w:lang w:eastAsia="ru-RU"/>
        </w:rPr>
        <w:t>-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5A553E">
        <w:rPr>
          <w:rFonts w:eastAsia="Times New Roman" w:cs="Times New Roman"/>
          <w:szCs w:val="28"/>
          <w:lang w:eastAsia="ru-RU"/>
        </w:rPr>
        <w:t>не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5A553E">
        <w:rPr>
          <w:rFonts w:eastAsia="Times New Roman" w:cs="Times New Roman"/>
          <w:szCs w:val="28"/>
          <w:lang w:eastAsia="ru-RU"/>
        </w:rPr>
        <w:t>будуть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5A553E">
        <w:rPr>
          <w:rFonts w:eastAsia="Times New Roman" w:cs="Times New Roman"/>
          <w:szCs w:val="28"/>
          <w:lang w:eastAsia="ru-RU"/>
        </w:rPr>
        <w:t>отримувати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5A553E">
        <w:rPr>
          <w:rFonts w:eastAsia="Times New Roman" w:cs="Times New Roman"/>
          <w:szCs w:val="28"/>
          <w:lang w:eastAsia="ru-RU"/>
        </w:rPr>
        <w:t>послуги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5A553E">
        <w:rPr>
          <w:rFonts w:eastAsia="Times New Roman" w:cs="Times New Roman"/>
          <w:szCs w:val="28"/>
          <w:lang w:eastAsia="ru-RU"/>
        </w:rPr>
        <w:t>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2426A5" w:rsidRPr="00D6096E">
        <w:rPr>
          <w:rFonts w:cs="Times New Roman"/>
          <w:szCs w:val="28"/>
        </w:rPr>
        <w:t>вивезення</w:t>
      </w:r>
      <w:r w:rsidR="003D60BA">
        <w:rPr>
          <w:rFonts w:cs="Times New Roman"/>
          <w:szCs w:val="28"/>
        </w:rPr>
        <w:t xml:space="preserve"> </w:t>
      </w:r>
      <w:r w:rsidR="002426A5" w:rsidRPr="00D6096E">
        <w:rPr>
          <w:rFonts w:cs="Times New Roman"/>
          <w:szCs w:val="28"/>
        </w:rPr>
        <w:t>та</w:t>
      </w:r>
      <w:r w:rsidR="003D60BA">
        <w:rPr>
          <w:rFonts w:cs="Times New Roman"/>
          <w:szCs w:val="28"/>
        </w:rPr>
        <w:t xml:space="preserve"> </w:t>
      </w:r>
      <w:r w:rsidR="002426A5" w:rsidRPr="00D6096E">
        <w:rPr>
          <w:rFonts w:cs="Times New Roman"/>
          <w:szCs w:val="28"/>
        </w:rPr>
        <w:t>захоронення</w:t>
      </w:r>
      <w:r w:rsidR="003D60BA">
        <w:rPr>
          <w:rFonts w:cs="Times New Roman"/>
          <w:szCs w:val="28"/>
        </w:rPr>
        <w:t xml:space="preserve"> </w:t>
      </w:r>
      <w:r w:rsidR="002426A5" w:rsidRPr="00D6096E">
        <w:rPr>
          <w:rFonts w:cs="Times New Roman"/>
          <w:szCs w:val="28"/>
        </w:rPr>
        <w:t>твердих</w:t>
      </w:r>
      <w:r w:rsidR="003D60BA">
        <w:rPr>
          <w:rFonts w:cs="Times New Roman"/>
          <w:szCs w:val="28"/>
        </w:rPr>
        <w:t xml:space="preserve"> </w:t>
      </w:r>
      <w:r w:rsidR="002426A5" w:rsidRPr="00D6096E">
        <w:rPr>
          <w:rFonts w:cs="Times New Roman"/>
          <w:szCs w:val="28"/>
        </w:rPr>
        <w:t>побутових</w:t>
      </w:r>
      <w:r w:rsidR="003D60BA">
        <w:rPr>
          <w:rFonts w:cs="Times New Roman"/>
          <w:szCs w:val="28"/>
        </w:rPr>
        <w:t xml:space="preserve"> </w:t>
      </w:r>
      <w:r w:rsidR="002426A5" w:rsidRPr="00D6096E">
        <w:rPr>
          <w:rFonts w:cs="Times New Roman"/>
          <w:szCs w:val="28"/>
        </w:rPr>
        <w:t>відходів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5A553E">
        <w:rPr>
          <w:rFonts w:eastAsia="Times New Roman" w:cs="Times New Roman"/>
          <w:szCs w:val="28"/>
          <w:lang w:eastAsia="ru-RU"/>
        </w:rPr>
        <w:t>своєчасно,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EB0E9D">
        <w:rPr>
          <w:rFonts w:eastAsia="Times New Roman" w:cs="Times New Roman"/>
          <w:szCs w:val="28"/>
          <w:lang w:eastAsia="ru-RU"/>
        </w:rPr>
        <w:t>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5A553E">
        <w:rPr>
          <w:rFonts w:eastAsia="Times New Roman" w:cs="Times New Roman"/>
          <w:szCs w:val="28"/>
          <w:lang w:eastAsia="ru-RU"/>
        </w:rPr>
        <w:t>необхідному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5A553E">
        <w:rPr>
          <w:rFonts w:eastAsia="Times New Roman" w:cs="Times New Roman"/>
          <w:szCs w:val="28"/>
          <w:lang w:eastAsia="ru-RU"/>
        </w:rPr>
        <w:t>обсязі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5A553E">
        <w:rPr>
          <w:rFonts w:eastAsia="Times New Roman" w:cs="Times New Roman"/>
          <w:szCs w:val="28"/>
          <w:lang w:eastAsia="ru-RU"/>
        </w:rPr>
        <w:t>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5A553E">
        <w:rPr>
          <w:rFonts w:eastAsia="Times New Roman" w:cs="Times New Roman"/>
          <w:szCs w:val="28"/>
          <w:lang w:eastAsia="ru-RU"/>
        </w:rPr>
        <w:t>належної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5A553E">
        <w:rPr>
          <w:rFonts w:eastAsia="Times New Roman" w:cs="Times New Roman"/>
          <w:szCs w:val="28"/>
          <w:lang w:eastAsia="ru-RU"/>
        </w:rPr>
        <w:t>якості;</w:t>
      </w:r>
    </w:p>
    <w:p w:rsidR="00D6096E" w:rsidRPr="002426A5" w:rsidRDefault="002426A5" w:rsidP="00D6096E">
      <w:pPr>
        <w:pStyle w:val="a5"/>
        <w:numPr>
          <w:ilvl w:val="0"/>
          <w:numId w:val="6"/>
        </w:num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в</w:t>
      </w:r>
      <w:r w:rsidR="00D6096E" w:rsidRPr="002426A5">
        <w:rPr>
          <w:rFonts w:eastAsia="Times New Roman" w:cs="Times New Roman"/>
          <w:szCs w:val="28"/>
          <w:lang w:eastAsia="ru-RU"/>
        </w:rPr>
        <w:t>иробник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2426A5">
        <w:rPr>
          <w:rFonts w:eastAsia="Times New Roman" w:cs="Times New Roman"/>
          <w:szCs w:val="28"/>
          <w:lang w:eastAsia="ru-RU"/>
        </w:rPr>
        <w:t>послуг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2426A5">
        <w:rPr>
          <w:rFonts w:eastAsia="Times New Roman" w:cs="Times New Roman"/>
          <w:szCs w:val="28"/>
          <w:lang w:eastAsia="ru-RU"/>
        </w:rPr>
        <w:t>-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2426A5">
        <w:rPr>
          <w:rFonts w:eastAsia="Times New Roman" w:cs="Times New Roman"/>
          <w:szCs w:val="28"/>
          <w:lang w:eastAsia="ru-RU"/>
        </w:rPr>
        <w:t>не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2426A5">
        <w:rPr>
          <w:rFonts w:eastAsia="Times New Roman" w:cs="Times New Roman"/>
          <w:szCs w:val="28"/>
          <w:lang w:eastAsia="ru-RU"/>
        </w:rPr>
        <w:t>зможе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2426A5">
        <w:rPr>
          <w:rFonts w:eastAsia="Times New Roman" w:cs="Times New Roman"/>
          <w:szCs w:val="28"/>
          <w:lang w:eastAsia="ru-RU"/>
        </w:rPr>
        <w:t>утримувати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2426A5">
        <w:rPr>
          <w:rFonts w:eastAsia="Times New Roman" w:cs="Times New Roman"/>
          <w:szCs w:val="28"/>
          <w:lang w:eastAsia="ru-RU"/>
        </w:rPr>
        <w:t>виробництво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2426A5">
        <w:rPr>
          <w:rFonts w:eastAsia="Times New Roman" w:cs="Times New Roman"/>
          <w:szCs w:val="28"/>
          <w:lang w:eastAsia="ru-RU"/>
        </w:rPr>
        <w:t>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2426A5">
        <w:rPr>
          <w:rFonts w:eastAsia="Times New Roman" w:cs="Times New Roman"/>
          <w:szCs w:val="28"/>
          <w:lang w:eastAsia="ru-RU"/>
        </w:rPr>
        <w:t>належному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2426A5">
        <w:rPr>
          <w:rFonts w:eastAsia="Times New Roman" w:cs="Times New Roman"/>
          <w:szCs w:val="28"/>
          <w:lang w:eastAsia="ru-RU"/>
        </w:rPr>
        <w:t>стані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2426A5">
        <w:rPr>
          <w:rFonts w:eastAsia="Times New Roman" w:cs="Times New Roman"/>
          <w:szCs w:val="28"/>
          <w:lang w:eastAsia="ru-RU"/>
        </w:rPr>
        <w:t>для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2426A5">
        <w:rPr>
          <w:rFonts w:eastAsia="Times New Roman" w:cs="Times New Roman"/>
          <w:szCs w:val="28"/>
          <w:lang w:eastAsia="ru-RU"/>
        </w:rPr>
        <w:t>безперебійного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2426A5">
        <w:rPr>
          <w:rFonts w:eastAsia="Times New Roman" w:cs="Times New Roman"/>
          <w:szCs w:val="28"/>
          <w:lang w:eastAsia="ru-RU"/>
        </w:rPr>
        <w:t>забезпечення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2426A5">
        <w:rPr>
          <w:rFonts w:eastAsia="Times New Roman" w:cs="Times New Roman"/>
          <w:szCs w:val="28"/>
          <w:lang w:eastAsia="ru-RU"/>
        </w:rPr>
        <w:t>споживачів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2426A5">
        <w:rPr>
          <w:rFonts w:eastAsia="Times New Roman" w:cs="Times New Roman"/>
          <w:szCs w:val="28"/>
          <w:lang w:eastAsia="ru-RU"/>
        </w:rPr>
        <w:t>якісними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2426A5">
        <w:rPr>
          <w:rFonts w:eastAsia="Times New Roman" w:cs="Times New Roman"/>
          <w:szCs w:val="28"/>
          <w:lang w:eastAsia="ru-RU"/>
        </w:rPr>
        <w:t>послугами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2426A5">
        <w:rPr>
          <w:rFonts w:eastAsia="Times New Roman" w:cs="Times New Roman"/>
          <w:szCs w:val="28"/>
          <w:lang w:eastAsia="ru-RU"/>
        </w:rPr>
        <w:t>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2426A5">
        <w:rPr>
          <w:rFonts w:eastAsia="Times New Roman" w:cs="Times New Roman"/>
          <w:szCs w:val="28"/>
          <w:lang w:eastAsia="ru-RU"/>
        </w:rPr>
        <w:t>повному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D6096E" w:rsidRPr="002426A5">
        <w:rPr>
          <w:rFonts w:eastAsia="Times New Roman" w:cs="Times New Roman"/>
          <w:szCs w:val="28"/>
          <w:lang w:eastAsia="ru-RU"/>
        </w:rPr>
        <w:t>обсязі.</w:t>
      </w:r>
    </w:p>
    <w:p w:rsidR="00D6096E" w:rsidRPr="001E00CD" w:rsidRDefault="00D6096E" w:rsidP="002426A5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1E00CD">
        <w:rPr>
          <w:rFonts w:eastAsia="Times New Roman" w:cs="Times New Roman"/>
          <w:b/>
          <w:bCs/>
          <w:szCs w:val="28"/>
          <w:lang w:eastAsia="ru-RU"/>
        </w:rPr>
        <w:t>2.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Визначення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цілі,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на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яку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спрямовано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запропонований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проект</w:t>
      </w:r>
    </w:p>
    <w:p w:rsidR="00D6096E" w:rsidRPr="00D6096E" w:rsidRDefault="00D6096E" w:rsidP="002426A5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Основною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ціллю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даного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регулювання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є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виконання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Закону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України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від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24.06.2004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1875-І</w:t>
      </w:r>
      <w:r w:rsidR="002426A5">
        <w:rPr>
          <w:rFonts w:eastAsia="Times New Roman" w:cs="Times New Roman"/>
          <w:szCs w:val="28"/>
          <w:lang w:val="en-US" w:eastAsia="ru-RU"/>
        </w:rPr>
        <w:t>V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824D17">
        <w:rPr>
          <w:rFonts w:eastAsia="Times New Roman" w:cs="Times New Roman"/>
          <w:szCs w:val="28"/>
          <w:lang w:eastAsia="ru-RU"/>
        </w:rPr>
        <w:t>«</w:t>
      </w:r>
      <w:r w:rsidRPr="00D6096E">
        <w:rPr>
          <w:rFonts w:eastAsia="Times New Roman" w:cs="Times New Roman"/>
          <w:szCs w:val="28"/>
          <w:lang w:eastAsia="ru-RU"/>
        </w:rPr>
        <w:t>Про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D6096E">
        <w:rPr>
          <w:rFonts w:eastAsia="Times New Roman" w:cs="Times New Roman"/>
          <w:szCs w:val="28"/>
          <w:lang w:eastAsia="ru-RU"/>
        </w:rPr>
        <w:t>житлово</w:t>
      </w:r>
      <w:proofErr w:type="spellEnd"/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-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комунальні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824D17">
        <w:rPr>
          <w:rFonts w:eastAsia="Times New Roman" w:cs="Times New Roman"/>
          <w:szCs w:val="28"/>
          <w:lang w:eastAsia="ru-RU"/>
        </w:rPr>
        <w:t>послуги»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(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далі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-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Закон)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сфері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надання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2426A5" w:rsidRPr="00D6096E">
        <w:rPr>
          <w:rFonts w:cs="Times New Roman"/>
          <w:szCs w:val="28"/>
        </w:rPr>
        <w:t>вивезення</w:t>
      </w:r>
      <w:r w:rsidR="003D60BA">
        <w:rPr>
          <w:rFonts w:cs="Times New Roman"/>
          <w:szCs w:val="28"/>
        </w:rPr>
        <w:t xml:space="preserve"> </w:t>
      </w:r>
      <w:r w:rsidR="002426A5" w:rsidRPr="00D6096E">
        <w:rPr>
          <w:rFonts w:cs="Times New Roman"/>
          <w:szCs w:val="28"/>
        </w:rPr>
        <w:t>та</w:t>
      </w:r>
      <w:r w:rsidR="003D60BA">
        <w:rPr>
          <w:rFonts w:cs="Times New Roman"/>
          <w:szCs w:val="28"/>
        </w:rPr>
        <w:t xml:space="preserve"> </w:t>
      </w:r>
      <w:r w:rsidR="002426A5" w:rsidRPr="00D6096E">
        <w:rPr>
          <w:rFonts w:cs="Times New Roman"/>
          <w:szCs w:val="28"/>
        </w:rPr>
        <w:t>захоронення</w:t>
      </w:r>
      <w:r w:rsidR="003D60BA">
        <w:rPr>
          <w:rFonts w:cs="Times New Roman"/>
          <w:szCs w:val="28"/>
        </w:rPr>
        <w:t xml:space="preserve"> </w:t>
      </w:r>
      <w:r w:rsidR="002426A5" w:rsidRPr="00D6096E">
        <w:rPr>
          <w:rFonts w:cs="Times New Roman"/>
          <w:szCs w:val="28"/>
        </w:rPr>
        <w:t>твердих</w:t>
      </w:r>
      <w:r w:rsidR="003D60BA">
        <w:rPr>
          <w:rFonts w:cs="Times New Roman"/>
          <w:szCs w:val="28"/>
        </w:rPr>
        <w:t xml:space="preserve"> </w:t>
      </w:r>
      <w:r w:rsidR="002426A5" w:rsidRPr="00D6096E">
        <w:rPr>
          <w:rFonts w:cs="Times New Roman"/>
          <w:szCs w:val="28"/>
        </w:rPr>
        <w:t>побутових</w:t>
      </w:r>
      <w:r w:rsidR="003D60BA">
        <w:rPr>
          <w:rFonts w:cs="Times New Roman"/>
          <w:szCs w:val="28"/>
        </w:rPr>
        <w:t xml:space="preserve"> </w:t>
      </w:r>
      <w:r w:rsidR="002426A5" w:rsidRPr="00D6096E">
        <w:rPr>
          <w:rFonts w:cs="Times New Roman"/>
          <w:szCs w:val="28"/>
        </w:rPr>
        <w:t>відходів</w:t>
      </w:r>
      <w:r w:rsidR="002426A5">
        <w:rPr>
          <w:rFonts w:eastAsia="Times New Roman" w:cs="Times New Roman"/>
          <w:szCs w:val="28"/>
          <w:lang w:eastAsia="ru-RU"/>
        </w:rPr>
        <w:t>.</w:t>
      </w:r>
    </w:p>
    <w:p w:rsidR="00D6096E" w:rsidRPr="00D6096E" w:rsidRDefault="00D6096E" w:rsidP="002426A5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Цілями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регулювання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є:</w:t>
      </w:r>
    </w:p>
    <w:p w:rsidR="00D6096E" w:rsidRPr="003D60BA" w:rsidRDefault="00D6096E" w:rsidP="003D60BA">
      <w:pPr>
        <w:pStyle w:val="a5"/>
        <w:numPr>
          <w:ilvl w:val="0"/>
          <w:numId w:val="6"/>
        </w:num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3D60BA">
        <w:rPr>
          <w:rFonts w:eastAsia="Times New Roman" w:cs="Times New Roman"/>
          <w:szCs w:val="28"/>
          <w:lang w:eastAsia="ru-RU"/>
        </w:rPr>
        <w:t>надання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якісних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послуг,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здатних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задовольняти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потреби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споживача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відповідності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до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законодавства;</w:t>
      </w:r>
    </w:p>
    <w:p w:rsidR="00D6096E" w:rsidRPr="003D60BA" w:rsidRDefault="00D6096E" w:rsidP="003D60BA">
      <w:pPr>
        <w:pStyle w:val="a5"/>
        <w:numPr>
          <w:ilvl w:val="0"/>
          <w:numId w:val="6"/>
        </w:num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3D60BA">
        <w:rPr>
          <w:rFonts w:eastAsia="Times New Roman" w:cs="Times New Roman"/>
          <w:szCs w:val="28"/>
          <w:lang w:eastAsia="ru-RU"/>
        </w:rPr>
        <w:t>дотримання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встановлених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стандартів,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нормативів,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норм,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порядків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правил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по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кількості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якості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послуг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3D60BA" w:rsidRPr="00D6096E">
        <w:rPr>
          <w:rFonts w:cs="Times New Roman"/>
          <w:szCs w:val="28"/>
        </w:rPr>
        <w:t>вивезення</w:t>
      </w:r>
      <w:r w:rsidR="003D60BA">
        <w:rPr>
          <w:rFonts w:cs="Times New Roman"/>
          <w:szCs w:val="28"/>
        </w:rPr>
        <w:t xml:space="preserve"> </w:t>
      </w:r>
      <w:r w:rsidR="003D60BA" w:rsidRPr="00D6096E">
        <w:rPr>
          <w:rFonts w:cs="Times New Roman"/>
          <w:szCs w:val="28"/>
        </w:rPr>
        <w:t>та</w:t>
      </w:r>
      <w:r w:rsidR="003D60BA">
        <w:rPr>
          <w:rFonts w:cs="Times New Roman"/>
          <w:szCs w:val="28"/>
        </w:rPr>
        <w:t xml:space="preserve"> </w:t>
      </w:r>
      <w:r w:rsidR="003D60BA" w:rsidRPr="00D6096E">
        <w:rPr>
          <w:rFonts w:cs="Times New Roman"/>
          <w:szCs w:val="28"/>
        </w:rPr>
        <w:t>захоронення</w:t>
      </w:r>
      <w:r w:rsidR="003D60BA">
        <w:rPr>
          <w:rFonts w:cs="Times New Roman"/>
          <w:szCs w:val="28"/>
        </w:rPr>
        <w:t xml:space="preserve"> </w:t>
      </w:r>
      <w:r w:rsidR="003D60BA" w:rsidRPr="00D6096E">
        <w:rPr>
          <w:rFonts w:cs="Times New Roman"/>
          <w:szCs w:val="28"/>
        </w:rPr>
        <w:t>твердих</w:t>
      </w:r>
      <w:r w:rsidR="003D60BA">
        <w:rPr>
          <w:rFonts w:cs="Times New Roman"/>
          <w:szCs w:val="28"/>
        </w:rPr>
        <w:t xml:space="preserve"> </w:t>
      </w:r>
      <w:r w:rsidR="003D60BA" w:rsidRPr="00D6096E">
        <w:rPr>
          <w:rFonts w:cs="Times New Roman"/>
          <w:szCs w:val="28"/>
        </w:rPr>
        <w:t>побутових</w:t>
      </w:r>
      <w:r w:rsidR="003D60BA">
        <w:rPr>
          <w:rFonts w:cs="Times New Roman"/>
          <w:szCs w:val="28"/>
        </w:rPr>
        <w:t xml:space="preserve"> </w:t>
      </w:r>
      <w:r w:rsidR="003D60BA" w:rsidRPr="00D6096E">
        <w:rPr>
          <w:rFonts w:cs="Times New Roman"/>
          <w:szCs w:val="28"/>
        </w:rPr>
        <w:t>відходів</w:t>
      </w:r>
      <w:r w:rsidRPr="003D60BA">
        <w:rPr>
          <w:rFonts w:eastAsia="Times New Roman" w:cs="Times New Roman"/>
          <w:szCs w:val="28"/>
          <w:lang w:eastAsia="ru-RU"/>
        </w:rPr>
        <w:t>;</w:t>
      </w:r>
    </w:p>
    <w:p w:rsidR="00D6096E" w:rsidRPr="003D60BA" w:rsidRDefault="003D60BA" w:rsidP="003D60BA">
      <w:pPr>
        <w:pStyle w:val="a5"/>
        <w:numPr>
          <w:ilvl w:val="0"/>
          <w:numId w:val="6"/>
        </w:num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забезпечення </w:t>
      </w:r>
      <w:r w:rsidR="00D6096E" w:rsidRPr="003D60BA">
        <w:rPr>
          <w:rFonts w:eastAsia="Times New Roman" w:cs="Times New Roman"/>
          <w:szCs w:val="28"/>
          <w:lang w:eastAsia="ru-RU"/>
        </w:rPr>
        <w:t>функціонування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D6096E" w:rsidRPr="003D60BA">
        <w:rPr>
          <w:rFonts w:eastAsia="Times New Roman" w:cs="Times New Roman"/>
          <w:szCs w:val="28"/>
          <w:lang w:eastAsia="ru-RU"/>
        </w:rPr>
        <w:t>підприємства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D6096E" w:rsidRPr="003D60BA">
        <w:rPr>
          <w:rFonts w:eastAsia="Times New Roman" w:cs="Times New Roman"/>
          <w:szCs w:val="28"/>
          <w:lang w:eastAsia="ru-RU"/>
        </w:rPr>
        <w:t>-</w:t>
      </w:r>
      <w:r>
        <w:rPr>
          <w:rFonts w:eastAsia="Times New Roman" w:cs="Times New Roman"/>
          <w:szCs w:val="28"/>
          <w:lang w:eastAsia="ru-RU"/>
        </w:rPr>
        <w:t xml:space="preserve"> виробника </w:t>
      </w:r>
      <w:r w:rsidR="00D6096E" w:rsidRPr="003D60BA">
        <w:rPr>
          <w:rFonts w:eastAsia="Times New Roman" w:cs="Times New Roman"/>
          <w:szCs w:val="28"/>
          <w:lang w:eastAsia="ru-RU"/>
        </w:rPr>
        <w:t>послуг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D6096E" w:rsidRPr="003D60BA">
        <w:rPr>
          <w:rFonts w:eastAsia="Times New Roman" w:cs="Times New Roman"/>
          <w:szCs w:val="28"/>
          <w:lang w:eastAsia="ru-RU"/>
        </w:rPr>
        <w:t>на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D6096E" w:rsidRPr="003D60BA">
        <w:rPr>
          <w:rFonts w:eastAsia="Times New Roman" w:cs="Times New Roman"/>
          <w:szCs w:val="28"/>
          <w:lang w:eastAsia="ru-RU"/>
        </w:rPr>
        <w:t>умовах</w:t>
      </w:r>
      <w:r>
        <w:rPr>
          <w:rFonts w:eastAsia="Times New Roman" w:cs="Times New Roman"/>
          <w:szCs w:val="28"/>
          <w:lang w:eastAsia="ru-RU"/>
        </w:rPr>
        <w:t xml:space="preserve"> часткового </w:t>
      </w:r>
      <w:r w:rsidR="00D6096E" w:rsidRPr="003D60BA">
        <w:rPr>
          <w:rFonts w:eastAsia="Times New Roman" w:cs="Times New Roman"/>
          <w:szCs w:val="28"/>
          <w:lang w:eastAsia="ru-RU"/>
        </w:rPr>
        <w:t>самофінансування;</w:t>
      </w:r>
    </w:p>
    <w:p w:rsidR="00D6096E" w:rsidRPr="003D60BA" w:rsidRDefault="00D6096E" w:rsidP="003D60BA">
      <w:pPr>
        <w:pStyle w:val="a5"/>
        <w:numPr>
          <w:ilvl w:val="0"/>
          <w:numId w:val="6"/>
        </w:num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3D60BA">
        <w:rPr>
          <w:rFonts w:eastAsia="Times New Roman" w:cs="Times New Roman"/>
          <w:szCs w:val="28"/>
          <w:lang w:eastAsia="ru-RU"/>
        </w:rPr>
        <w:t>утримання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належному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стані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засобів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виробництва;</w:t>
      </w:r>
    </w:p>
    <w:p w:rsidR="003D60BA" w:rsidRDefault="00D6096E" w:rsidP="00D6096E">
      <w:pPr>
        <w:pStyle w:val="a5"/>
        <w:numPr>
          <w:ilvl w:val="0"/>
          <w:numId w:val="6"/>
        </w:num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3D60BA">
        <w:rPr>
          <w:rFonts w:eastAsia="Times New Roman" w:cs="Times New Roman"/>
          <w:szCs w:val="28"/>
          <w:lang w:eastAsia="ru-RU"/>
        </w:rPr>
        <w:t>забезпечення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розвитку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виробництва,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підвищення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надійності,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якості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технологічного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процесу.</w:t>
      </w:r>
    </w:p>
    <w:p w:rsidR="00D6096E" w:rsidRPr="003D60BA" w:rsidRDefault="00D6096E" w:rsidP="003D60BA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3D60BA">
        <w:rPr>
          <w:rFonts w:eastAsia="Times New Roman" w:cs="Times New Roman"/>
          <w:szCs w:val="28"/>
          <w:lang w:eastAsia="ru-RU"/>
        </w:rPr>
        <w:t>Реалізація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мети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передбачає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встановлення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економічно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обґрунтованих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тарифів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комунальні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послуги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3D60BA" w:rsidRPr="00D6096E">
        <w:rPr>
          <w:rFonts w:cs="Times New Roman"/>
          <w:szCs w:val="28"/>
        </w:rPr>
        <w:t>вивезення</w:t>
      </w:r>
      <w:r w:rsidR="003D60BA">
        <w:rPr>
          <w:rFonts w:cs="Times New Roman"/>
          <w:szCs w:val="28"/>
        </w:rPr>
        <w:t xml:space="preserve"> </w:t>
      </w:r>
      <w:r w:rsidR="003D60BA" w:rsidRPr="00D6096E">
        <w:rPr>
          <w:rFonts w:cs="Times New Roman"/>
          <w:szCs w:val="28"/>
        </w:rPr>
        <w:t>та</w:t>
      </w:r>
      <w:r w:rsidR="003D60BA">
        <w:rPr>
          <w:rFonts w:cs="Times New Roman"/>
          <w:szCs w:val="28"/>
        </w:rPr>
        <w:t xml:space="preserve"> </w:t>
      </w:r>
      <w:r w:rsidR="003D60BA" w:rsidRPr="00D6096E">
        <w:rPr>
          <w:rFonts w:cs="Times New Roman"/>
          <w:szCs w:val="28"/>
        </w:rPr>
        <w:t>захоронення</w:t>
      </w:r>
      <w:r w:rsidR="003D60BA">
        <w:rPr>
          <w:rFonts w:cs="Times New Roman"/>
          <w:szCs w:val="28"/>
        </w:rPr>
        <w:t xml:space="preserve"> </w:t>
      </w:r>
      <w:r w:rsidR="003D60BA" w:rsidRPr="00D6096E">
        <w:rPr>
          <w:rFonts w:cs="Times New Roman"/>
          <w:szCs w:val="28"/>
        </w:rPr>
        <w:t>твердих</w:t>
      </w:r>
      <w:r w:rsidR="003D60BA">
        <w:rPr>
          <w:rFonts w:cs="Times New Roman"/>
          <w:szCs w:val="28"/>
        </w:rPr>
        <w:t xml:space="preserve"> </w:t>
      </w:r>
      <w:r w:rsidR="003D60BA" w:rsidRPr="00D6096E">
        <w:rPr>
          <w:rFonts w:cs="Times New Roman"/>
          <w:szCs w:val="28"/>
        </w:rPr>
        <w:t>побутових</w:t>
      </w:r>
      <w:r w:rsidR="003D60BA">
        <w:rPr>
          <w:rFonts w:cs="Times New Roman"/>
          <w:szCs w:val="28"/>
        </w:rPr>
        <w:t xml:space="preserve"> </w:t>
      </w:r>
      <w:r w:rsidR="003D60BA" w:rsidRPr="00D6096E">
        <w:rPr>
          <w:rFonts w:cs="Times New Roman"/>
          <w:szCs w:val="28"/>
        </w:rPr>
        <w:t>відходів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для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всіх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категорій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3D60BA">
        <w:rPr>
          <w:rFonts w:eastAsia="Times New Roman" w:cs="Times New Roman"/>
          <w:szCs w:val="28"/>
          <w:lang w:eastAsia="ru-RU"/>
        </w:rPr>
        <w:t>споживачів</w:t>
      </w:r>
    </w:p>
    <w:p w:rsidR="00D6096E" w:rsidRPr="001E00CD" w:rsidRDefault="00D6096E" w:rsidP="003D60BA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1E00CD">
        <w:rPr>
          <w:rFonts w:eastAsia="Times New Roman" w:cs="Times New Roman"/>
          <w:b/>
          <w:bCs/>
          <w:szCs w:val="28"/>
          <w:lang w:eastAsia="ru-RU"/>
        </w:rPr>
        <w:t>3.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Визначення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очікуваних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результатів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прийняття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регуляторного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EB0E9D">
        <w:rPr>
          <w:rFonts w:eastAsia="Times New Roman" w:cs="Times New Roman"/>
          <w:b/>
          <w:bCs/>
          <w:szCs w:val="28"/>
          <w:lang w:eastAsia="ru-RU"/>
        </w:rPr>
        <w:t>акта</w:t>
      </w:r>
    </w:p>
    <w:p w:rsidR="00D6096E" w:rsidRDefault="00D6096E" w:rsidP="00D6096E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Впровадження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виконання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даного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проекту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рішення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першу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чергу,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надасть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можливість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стабілізувати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роботу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964E64">
        <w:rPr>
          <w:rFonts w:eastAsia="Times New Roman" w:cs="Times New Roman"/>
          <w:szCs w:val="28"/>
          <w:lang w:eastAsia="ru-RU"/>
        </w:rPr>
        <w:t>міського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комунального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підприємства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«Комунсервіс»,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як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наслідок,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дозволить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створити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умови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для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комфортного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проживання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мешканців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міської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ради,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поліпшити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санітарно-епідеміологічний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стан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території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міської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ради.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60"/>
        <w:gridCol w:w="1948"/>
        <w:gridCol w:w="4063"/>
        <w:gridCol w:w="3651"/>
      </w:tblGrid>
      <w:tr w:rsidR="00964E64" w:rsidTr="001E00CD">
        <w:tc>
          <w:tcPr>
            <w:tcW w:w="760" w:type="dxa"/>
            <w:vAlign w:val="center"/>
          </w:tcPr>
          <w:p w:rsidR="00964E64" w:rsidRDefault="00964E64" w:rsidP="00824D17">
            <w:pPr>
              <w:spacing w:line="36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№ з/п</w:t>
            </w:r>
          </w:p>
        </w:tc>
        <w:tc>
          <w:tcPr>
            <w:tcW w:w="1948" w:type="dxa"/>
            <w:vAlign w:val="center"/>
          </w:tcPr>
          <w:p w:rsidR="00964E64" w:rsidRDefault="00964E64" w:rsidP="00824D17">
            <w:pPr>
              <w:spacing w:line="36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063" w:type="dxa"/>
            <w:vAlign w:val="center"/>
          </w:tcPr>
          <w:p w:rsidR="00964E64" w:rsidRDefault="00964E64" w:rsidP="00824D17">
            <w:pPr>
              <w:spacing w:line="36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Вигоди</w:t>
            </w:r>
          </w:p>
        </w:tc>
        <w:tc>
          <w:tcPr>
            <w:tcW w:w="3651" w:type="dxa"/>
            <w:vAlign w:val="center"/>
          </w:tcPr>
          <w:p w:rsidR="00964E64" w:rsidRDefault="00964E64" w:rsidP="00824D17">
            <w:pPr>
              <w:spacing w:line="36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Витати</w:t>
            </w:r>
          </w:p>
        </w:tc>
      </w:tr>
      <w:tr w:rsidR="00964E64" w:rsidTr="001E00CD">
        <w:tc>
          <w:tcPr>
            <w:tcW w:w="760" w:type="dxa"/>
            <w:vAlign w:val="center"/>
          </w:tcPr>
          <w:p w:rsidR="00964E64" w:rsidRDefault="00964E64" w:rsidP="00824D17">
            <w:pPr>
              <w:spacing w:line="36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1948" w:type="dxa"/>
          </w:tcPr>
          <w:p w:rsidR="00964E64" w:rsidRDefault="00431E62" w:rsidP="00D6096E">
            <w:pPr>
              <w:spacing w:line="36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Г</w:t>
            </w:r>
            <w:r w:rsidR="00964E64">
              <w:rPr>
                <w:rFonts w:eastAsia="Times New Roman" w:cs="Times New Roman"/>
                <w:szCs w:val="28"/>
                <w:lang w:eastAsia="ru-RU"/>
              </w:rPr>
              <w:t>ромадяни</w:t>
            </w:r>
          </w:p>
        </w:tc>
        <w:tc>
          <w:tcPr>
            <w:tcW w:w="4063" w:type="dxa"/>
          </w:tcPr>
          <w:p w:rsidR="00964E64" w:rsidRDefault="00824D17" w:rsidP="00D6096E">
            <w:pPr>
              <w:spacing w:line="36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D6096E">
              <w:rPr>
                <w:rFonts w:eastAsia="Times New Roman" w:cs="Times New Roman"/>
                <w:szCs w:val="28"/>
                <w:lang w:eastAsia="ru-RU"/>
              </w:rPr>
              <w:t>Надання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своєчасних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якісних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lastRenderedPageBreak/>
              <w:t>послуг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із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cs="Times New Roman"/>
                <w:szCs w:val="28"/>
              </w:rPr>
              <w:t>вивезення</w:t>
            </w:r>
            <w:r>
              <w:rPr>
                <w:rFonts w:cs="Times New Roman"/>
                <w:szCs w:val="28"/>
              </w:rPr>
              <w:t xml:space="preserve"> </w:t>
            </w:r>
            <w:r w:rsidRPr="00D6096E">
              <w:rPr>
                <w:rFonts w:cs="Times New Roman"/>
                <w:szCs w:val="28"/>
              </w:rPr>
              <w:t>та</w:t>
            </w:r>
            <w:r>
              <w:rPr>
                <w:rFonts w:cs="Times New Roman"/>
                <w:szCs w:val="28"/>
              </w:rPr>
              <w:t xml:space="preserve"> </w:t>
            </w:r>
            <w:r w:rsidRPr="00D6096E">
              <w:rPr>
                <w:rFonts w:cs="Times New Roman"/>
                <w:szCs w:val="28"/>
              </w:rPr>
              <w:t>захоронення</w:t>
            </w:r>
            <w:r>
              <w:rPr>
                <w:rFonts w:cs="Times New Roman"/>
                <w:szCs w:val="28"/>
              </w:rPr>
              <w:t xml:space="preserve"> </w:t>
            </w:r>
            <w:r w:rsidRPr="00D6096E">
              <w:rPr>
                <w:rFonts w:cs="Times New Roman"/>
                <w:szCs w:val="28"/>
              </w:rPr>
              <w:t>твердих</w:t>
            </w:r>
            <w:r>
              <w:rPr>
                <w:rFonts w:cs="Times New Roman"/>
                <w:szCs w:val="28"/>
              </w:rPr>
              <w:t xml:space="preserve"> </w:t>
            </w:r>
            <w:r w:rsidRPr="00D6096E">
              <w:rPr>
                <w:rFonts w:cs="Times New Roman"/>
                <w:szCs w:val="28"/>
              </w:rPr>
              <w:t>побутових</w:t>
            </w:r>
            <w:r>
              <w:rPr>
                <w:rFonts w:cs="Times New Roman"/>
                <w:szCs w:val="28"/>
              </w:rPr>
              <w:t xml:space="preserve"> </w:t>
            </w:r>
            <w:r w:rsidRPr="00D6096E">
              <w:rPr>
                <w:rFonts w:cs="Times New Roman"/>
                <w:szCs w:val="28"/>
              </w:rPr>
              <w:t>відходів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,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як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наслідок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-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покращення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комфортності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проживання</w:t>
            </w:r>
          </w:p>
        </w:tc>
        <w:tc>
          <w:tcPr>
            <w:tcW w:w="3651" w:type="dxa"/>
          </w:tcPr>
          <w:p w:rsidR="00964E64" w:rsidRDefault="00824D17" w:rsidP="00D6096E">
            <w:pPr>
              <w:spacing w:line="36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D6096E">
              <w:rPr>
                <w:rFonts w:eastAsia="Times New Roman" w:cs="Times New Roman"/>
                <w:szCs w:val="28"/>
                <w:lang w:eastAsia="ru-RU"/>
              </w:rPr>
              <w:lastRenderedPageBreak/>
              <w:t>Оплата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послуг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за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lastRenderedPageBreak/>
              <w:t>економічно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обґрунтованими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тарифами</w:t>
            </w:r>
          </w:p>
        </w:tc>
      </w:tr>
      <w:tr w:rsidR="00964E64" w:rsidTr="001E00CD">
        <w:tc>
          <w:tcPr>
            <w:tcW w:w="760" w:type="dxa"/>
            <w:vAlign w:val="center"/>
          </w:tcPr>
          <w:p w:rsidR="00964E64" w:rsidRDefault="00964E64" w:rsidP="00824D17">
            <w:pPr>
              <w:spacing w:line="36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948" w:type="dxa"/>
          </w:tcPr>
          <w:p w:rsidR="00964E64" w:rsidRDefault="00964E64" w:rsidP="00D6096E">
            <w:pPr>
              <w:spacing w:line="36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Бюджетні організації</w:t>
            </w:r>
          </w:p>
        </w:tc>
        <w:tc>
          <w:tcPr>
            <w:tcW w:w="4063" w:type="dxa"/>
          </w:tcPr>
          <w:p w:rsidR="00964E64" w:rsidRDefault="00824D17" w:rsidP="00D6096E">
            <w:pPr>
              <w:spacing w:line="36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D6096E">
              <w:rPr>
                <w:rFonts w:eastAsia="Times New Roman" w:cs="Times New Roman"/>
                <w:szCs w:val="28"/>
                <w:lang w:eastAsia="ru-RU"/>
              </w:rPr>
              <w:t>Надання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своєчасних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якісних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послуг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із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cs="Times New Roman"/>
                <w:szCs w:val="28"/>
              </w:rPr>
              <w:t>вивезення</w:t>
            </w:r>
            <w:r>
              <w:rPr>
                <w:rFonts w:cs="Times New Roman"/>
                <w:szCs w:val="28"/>
              </w:rPr>
              <w:t xml:space="preserve"> </w:t>
            </w:r>
            <w:r w:rsidRPr="00D6096E">
              <w:rPr>
                <w:rFonts w:cs="Times New Roman"/>
                <w:szCs w:val="28"/>
              </w:rPr>
              <w:t>та</w:t>
            </w:r>
            <w:r>
              <w:rPr>
                <w:rFonts w:cs="Times New Roman"/>
                <w:szCs w:val="28"/>
              </w:rPr>
              <w:t xml:space="preserve"> </w:t>
            </w:r>
            <w:r w:rsidRPr="00D6096E">
              <w:rPr>
                <w:rFonts w:cs="Times New Roman"/>
                <w:szCs w:val="28"/>
              </w:rPr>
              <w:t>захоронення</w:t>
            </w:r>
            <w:r>
              <w:rPr>
                <w:rFonts w:cs="Times New Roman"/>
                <w:szCs w:val="28"/>
              </w:rPr>
              <w:t xml:space="preserve"> </w:t>
            </w:r>
            <w:r w:rsidRPr="00D6096E">
              <w:rPr>
                <w:rFonts w:cs="Times New Roman"/>
                <w:szCs w:val="28"/>
              </w:rPr>
              <w:t>твердих</w:t>
            </w:r>
            <w:r>
              <w:rPr>
                <w:rFonts w:cs="Times New Roman"/>
                <w:szCs w:val="28"/>
              </w:rPr>
              <w:t xml:space="preserve"> </w:t>
            </w:r>
            <w:r w:rsidRPr="00D6096E">
              <w:rPr>
                <w:rFonts w:cs="Times New Roman"/>
                <w:szCs w:val="28"/>
              </w:rPr>
              <w:t>побутових</w:t>
            </w:r>
            <w:r>
              <w:rPr>
                <w:rFonts w:cs="Times New Roman"/>
                <w:szCs w:val="28"/>
              </w:rPr>
              <w:t xml:space="preserve"> </w:t>
            </w:r>
            <w:r w:rsidRPr="00D6096E">
              <w:rPr>
                <w:rFonts w:cs="Times New Roman"/>
                <w:szCs w:val="28"/>
              </w:rPr>
              <w:t>відходів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,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як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наслідок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-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покращення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комфортності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праці</w:t>
            </w:r>
          </w:p>
        </w:tc>
        <w:tc>
          <w:tcPr>
            <w:tcW w:w="3651" w:type="dxa"/>
          </w:tcPr>
          <w:p w:rsidR="00964E64" w:rsidRDefault="00824D17" w:rsidP="00D6096E">
            <w:pPr>
              <w:spacing w:line="36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D6096E">
              <w:rPr>
                <w:rFonts w:eastAsia="Times New Roman" w:cs="Times New Roman"/>
                <w:szCs w:val="28"/>
                <w:lang w:eastAsia="ru-RU"/>
              </w:rPr>
              <w:t>Оплата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за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економічно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обґрунтованими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тарифами</w:t>
            </w:r>
          </w:p>
        </w:tc>
      </w:tr>
      <w:tr w:rsidR="00964E64" w:rsidTr="001E00CD">
        <w:tc>
          <w:tcPr>
            <w:tcW w:w="760" w:type="dxa"/>
            <w:vAlign w:val="center"/>
          </w:tcPr>
          <w:p w:rsidR="00964E64" w:rsidRDefault="00824D17" w:rsidP="00824D17">
            <w:pPr>
              <w:spacing w:line="36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948" w:type="dxa"/>
          </w:tcPr>
          <w:p w:rsidR="00964E64" w:rsidRDefault="00431E62" w:rsidP="00D6096E">
            <w:pPr>
              <w:spacing w:line="36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Інші споживачі</w:t>
            </w:r>
          </w:p>
        </w:tc>
        <w:tc>
          <w:tcPr>
            <w:tcW w:w="4063" w:type="dxa"/>
          </w:tcPr>
          <w:p w:rsidR="00964E64" w:rsidRDefault="00824D17" w:rsidP="00D6096E">
            <w:pPr>
              <w:spacing w:line="36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D6096E">
              <w:rPr>
                <w:rFonts w:eastAsia="Times New Roman" w:cs="Times New Roman"/>
                <w:szCs w:val="28"/>
                <w:lang w:eastAsia="ru-RU"/>
              </w:rPr>
              <w:t>Стабілізація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фінансово-економічного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стану,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своєчасна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виплата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заробітної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плати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та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податків</w:t>
            </w:r>
          </w:p>
        </w:tc>
        <w:tc>
          <w:tcPr>
            <w:tcW w:w="3651" w:type="dxa"/>
          </w:tcPr>
          <w:p w:rsidR="00964E64" w:rsidRDefault="00824D17" w:rsidP="00D6096E">
            <w:pPr>
              <w:spacing w:line="36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D6096E">
              <w:rPr>
                <w:rFonts w:eastAsia="Times New Roman" w:cs="Times New Roman"/>
                <w:szCs w:val="28"/>
                <w:lang w:eastAsia="ru-RU"/>
              </w:rPr>
              <w:t>Збільшення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витрат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на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заміну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зношених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основних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фондів,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модернізація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або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технічне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переобладнання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підприємства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за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рахунок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отриманого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прибутку</w:t>
            </w:r>
          </w:p>
        </w:tc>
      </w:tr>
      <w:tr w:rsidR="00964E64" w:rsidTr="001E00CD">
        <w:tc>
          <w:tcPr>
            <w:tcW w:w="760" w:type="dxa"/>
            <w:vAlign w:val="center"/>
          </w:tcPr>
          <w:p w:rsidR="00964E64" w:rsidRDefault="00824D17" w:rsidP="00824D17">
            <w:pPr>
              <w:spacing w:line="36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1948" w:type="dxa"/>
          </w:tcPr>
          <w:p w:rsidR="00964E64" w:rsidRDefault="00431E62" w:rsidP="00D6096E">
            <w:pPr>
              <w:spacing w:line="36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Територіальна громада</w:t>
            </w:r>
          </w:p>
        </w:tc>
        <w:tc>
          <w:tcPr>
            <w:tcW w:w="4063" w:type="dxa"/>
          </w:tcPr>
          <w:p w:rsidR="00964E64" w:rsidRDefault="00824D17" w:rsidP="001E00CD">
            <w:pPr>
              <w:spacing w:line="36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D6096E">
              <w:rPr>
                <w:rFonts w:eastAsia="Times New Roman" w:cs="Times New Roman"/>
                <w:szCs w:val="28"/>
                <w:lang w:eastAsia="ru-RU"/>
              </w:rPr>
              <w:t>Поліпшення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санітарного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стану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на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території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міської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ради,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як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наслідок,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ліквідування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чинників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забруднювання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поверхневих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і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ґрунтових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вод,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ґрунтів,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повітря</w:t>
            </w:r>
          </w:p>
        </w:tc>
        <w:tc>
          <w:tcPr>
            <w:tcW w:w="3651" w:type="dxa"/>
          </w:tcPr>
          <w:p w:rsidR="00964E64" w:rsidRDefault="00824D17" w:rsidP="00D6096E">
            <w:pPr>
              <w:spacing w:line="36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D6096E">
              <w:rPr>
                <w:rFonts w:eastAsia="Times New Roman" w:cs="Times New Roman"/>
                <w:szCs w:val="28"/>
                <w:lang w:eastAsia="ru-RU"/>
              </w:rPr>
              <w:t>Зростання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субвенцій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на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покриття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витрат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з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надання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субсидій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та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пільг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за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D6096E">
              <w:rPr>
                <w:rFonts w:eastAsia="Times New Roman" w:cs="Times New Roman"/>
                <w:szCs w:val="28"/>
                <w:lang w:eastAsia="ru-RU"/>
              </w:rPr>
              <w:t>послуги</w:t>
            </w:r>
          </w:p>
        </w:tc>
      </w:tr>
    </w:tbl>
    <w:p w:rsidR="003D60BA" w:rsidRPr="00D6096E" w:rsidRDefault="003D60BA" w:rsidP="00D6096E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</w:p>
    <w:p w:rsidR="00D6096E" w:rsidRPr="001E00CD" w:rsidRDefault="00D6096E" w:rsidP="00824D17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1E00CD">
        <w:rPr>
          <w:rFonts w:eastAsia="Times New Roman" w:cs="Times New Roman"/>
          <w:b/>
          <w:bCs/>
          <w:szCs w:val="28"/>
          <w:lang w:eastAsia="ru-RU"/>
        </w:rPr>
        <w:t>4.</w:t>
      </w:r>
      <w:r w:rsidR="001E00CD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Визначення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та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оцінка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альтернативних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способів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досягнення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зазначених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824D17" w:rsidRPr="001E00CD">
        <w:rPr>
          <w:rFonts w:eastAsia="Times New Roman" w:cs="Times New Roman"/>
          <w:b/>
          <w:bCs/>
          <w:szCs w:val="28"/>
          <w:lang w:eastAsia="ru-RU"/>
        </w:rPr>
        <w:t>цілей</w:t>
      </w:r>
    </w:p>
    <w:p w:rsidR="00D6096E" w:rsidRPr="00D6096E" w:rsidRDefault="00D6096E" w:rsidP="001E00CD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Альтернативним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заходом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для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підприємства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може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бути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зниження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цін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паливо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-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бензин,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дизельне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пальне,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мастильні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матеріали,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запасні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частини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для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машин,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тракторів,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зменшення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мінімальної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заробітної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плати,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зменшення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податкового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навантаження,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або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отримання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дотації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місцевого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бюджету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відшкодування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різниці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встановленого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тарифу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фактичної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собівартості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урахуванням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рівня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lastRenderedPageBreak/>
        <w:t>рентабельності,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але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фактично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це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можливо,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умови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дефіциту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бюджетних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коштів.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Тому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вирішення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проблеми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можливо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лише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разі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встановлення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тарифів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1E00CD" w:rsidRPr="00D6096E">
        <w:rPr>
          <w:rFonts w:cs="Times New Roman"/>
          <w:szCs w:val="28"/>
        </w:rPr>
        <w:t>вивезення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та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захоронення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твердих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побутових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відходів</w:t>
      </w:r>
      <w:r w:rsidR="001E00CD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запропонованому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рівні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споживачам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цих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послуг.</w:t>
      </w:r>
    </w:p>
    <w:p w:rsidR="00D6096E" w:rsidRPr="001E00CD" w:rsidRDefault="00D6096E" w:rsidP="001E00CD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1E00CD">
        <w:rPr>
          <w:rFonts w:eastAsia="Times New Roman" w:cs="Times New Roman"/>
          <w:b/>
          <w:bCs/>
          <w:szCs w:val="28"/>
          <w:lang w:eastAsia="ru-RU"/>
        </w:rPr>
        <w:t>5.</w:t>
      </w:r>
      <w:r w:rsidR="001E00CD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Аргументація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переваг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обраного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способу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досягнення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цілі</w:t>
      </w:r>
    </w:p>
    <w:p w:rsidR="00D6096E" w:rsidRPr="00D6096E" w:rsidRDefault="00D6096E" w:rsidP="001E00CD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Прийняття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запропонованого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проекту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рішення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забезпечить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вирішення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проблеми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i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є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єдиним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виходом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із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ситуації,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що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склалася.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Даний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проект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вiдповiдає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принципам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державної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регуляторної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політики,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саме: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доцiльностi,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ефективності,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адекватності,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збалансованості,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передбачуваності,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принципу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прозорості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i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врахування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громадської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думки.</w:t>
      </w:r>
    </w:p>
    <w:p w:rsidR="00D6096E" w:rsidRPr="001E00CD" w:rsidRDefault="00D6096E" w:rsidP="001E00CD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1E00CD">
        <w:rPr>
          <w:rFonts w:eastAsia="Times New Roman" w:cs="Times New Roman"/>
          <w:b/>
          <w:bCs/>
          <w:szCs w:val="28"/>
          <w:lang w:eastAsia="ru-RU"/>
        </w:rPr>
        <w:t>6.Опис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механізму,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який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пропонується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для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розв’язання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1E00CD">
        <w:rPr>
          <w:rFonts w:eastAsia="Times New Roman" w:cs="Times New Roman"/>
          <w:b/>
          <w:bCs/>
          <w:szCs w:val="28"/>
          <w:lang w:eastAsia="ru-RU"/>
        </w:rPr>
        <w:t>проблеми</w:t>
      </w:r>
    </w:p>
    <w:p w:rsidR="00EB0E9D" w:rsidRPr="00EB0E9D" w:rsidRDefault="00D6096E" w:rsidP="00EB0E9D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Вказану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вище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проблему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пропонується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розв’язати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шляхом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прийняття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рішення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1E00CD">
        <w:rPr>
          <w:rFonts w:eastAsia="Times New Roman" w:cs="Times New Roman"/>
          <w:szCs w:val="28"/>
          <w:lang w:eastAsia="ru-RU"/>
        </w:rPr>
        <w:t xml:space="preserve">виконкому </w:t>
      </w:r>
      <w:r w:rsidRPr="00D6096E">
        <w:rPr>
          <w:rFonts w:eastAsia="Times New Roman" w:cs="Times New Roman"/>
          <w:szCs w:val="28"/>
          <w:lang w:eastAsia="ru-RU"/>
        </w:rPr>
        <w:t>Гадяцької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міської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ради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1E00CD" w:rsidRPr="00D6096E">
        <w:rPr>
          <w:rFonts w:eastAsia="Times New Roman" w:cs="Times New Roman"/>
          <w:bCs/>
          <w:szCs w:val="28"/>
          <w:lang w:eastAsia="ru-RU"/>
        </w:rPr>
        <w:t>«</w:t>
      </w:r>
      <w:r w:rsidR="001E00CD" w:rsidRPr="00D6096E">
        <w:rPr>
          <w:rFonts w:cs="Times New Roman"/>
          <w:szCs w:val="28"/>
        </w:rPr>
        <w:t>Про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затвердження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тарифів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на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вивезення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та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захоронення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твердих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побутових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відходів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міському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комунальному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підприємству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«Комунсервіс»</w:t>
      </w:r>
      <w:r w:rsidR="001E00CD" w:rsidRPr="00D6096E">
        <w:rPr>
          <w:rFonts w:eastAsia="Times New Roman" w:cs="Times New Roman"/>
          <w:bCs/>
          <w:szCs w:val="28"/>
          <w:lang w:eastAsia="ru-RU"/>
        </w:rPr>
        <w:t>»</w:t>
      </w:r>
      <w:r w:rsidRPr="00D6096E">
        <w:rPr>
          <w:rFonts w:eastAsia="Times New Roman" w:cs="Times New Roman"/>
          <w:szCs w:val="28"/>
          <w:lang w:eastAsia="ru-RU"/>
        </w:rPr>
        <w:t>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яким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пропонується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встановити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тарифи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1E00CD" w:rsidRPr="00D6096E">
        <w:rPr>
          <w:rFonts w:cs="Times New Roman"/>
          <w:szCs w:val="28"/>
        </w:rPr>
        <w:t>вивезення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та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захоронення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твердих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побутових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відходів</w:t>
      </w:r>
      <w:r w:rsidR="001E00CD" w:rsidRPr="00D6096E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окремо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для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кожного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виду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споживачів:</w:t>
      </w:r>
    </w:p>
    <w:p w:rsidR="00D6096E" w:rsidRPr="00D6096E" w:rsidRDefault="00D6096E" w:rsidP="00D6096E">
      <w:pPr>
        <w:numPr>
          <w:ilvl w:val="0"/>
          <w:numId w:val="1"/>
        </w:num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бюджетні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організації;</w:t>
      </w:r>
    </w:p>
    <w:p w:rsidR="001E00CD" w:rsidRDefault="001E00CD" w:rsidP="00D6096E">
      <w:pPr>
        <w:numPr>
          <w:ilvl w:val="0"/>
          <w:numId w:val="1"/>
        </w:num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Інші споживачі;</w:t>
      </w:r>
    </w:p>
    <w:p w:rsidR="00D6096E" w:rsidRDefault="00EB0E9D" w:rsidP="00D6096E">
      <w:pPr>
        <w:numPr>
          <w:ilvl w:val="0"/>
          <w:numId w:val="1"/>
        </w:num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Населення;</w:t>
      </w:r>
    </w:p>
    <w:p w:rsidR="00EB0E9D" w:rsidRPr="00D6096E" w:rsidRDefault="00EB0E9D" w:rsidP="00D6096E">
      <w:pPr>
        <w:numPr>
          <w:ilvl w:val="0"/>
          <w:numId w:val="1"/>
        </w:num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КП «Гадяч-житло».</w:t>
      </w:r>
    </w:p>
    <w:p w:rsidR="00D6096E" w:rsidRPr="001E00CD" w:rsidRDefault="00D6096E" w:rsidP="001E00CD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1E00CD">
        <w:rPr>
          <w:rFonts w:eastAsia="Times New Roman" w:cs="Times New Roman"/>
          <w:b/>
          <w:bCs/>
          <w:szCs w:val="28"/>
          <w:lang w:eastAsia="ru-RU"/>
        </w:rPr>
        <w:t>7.</w:t>
      </w:r>
      <w:r w:rsid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Обґрунтування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можливості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досягнення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встановлених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цілей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у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разі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прийняття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запропонованого</w:t>
      </w:r>
      <w:r w:rsidR="003D60BA" w:rsidRPr="001E00CD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0CD">
        <w:rPr>
          <w:rFonts w:eastAsia="Times New Roman" w:cs="Times New Roman"/>
          <w:b/>
          <w:bCs/>
          <w:szCs w:val="28"/>
          <w:lang w:eastAsia="ru-RU"/>
        </w:rPr>
        <w:t>акта</w:t>
      </w:r>
    </w:p>
    <w:p w:rsidR="00D6096E" w:rsidRPr="00D6096E" w:rsidRDefault="00D6096E" w:rsidP="001E00CD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Прийняття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запропонованого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регуляторного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акту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надасть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змогу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суб’єкту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господарювання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–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1E00CD">
        <w:rPr>
          <w:rFonts w:eastAsia="Times New Roman" w:cs="Times New Roman"/>
          <w:szCs w:val="28"/>
          <w:lang w:eastAsia="ru-RU"/>
        </w:rPr>
        <w:t>міському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комунальному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підприємству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«Комунсервіс»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-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надавачу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із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1E00CD" w:rsidRPr="00D6096E">
        <w:rPr>
          <w:rFonts w:cs="Times New Roman"/>
          <w:szCs w:val="28"/>
        </w:rPr>
        <w:t>вивезення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та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захоронення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твердих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побутових</w:t>
      </w:r>
      <w:r w:rsidR="001E00CD">
        <w:rPr>
          <w:rFonts w:cs="Times New Roman"/>
          <w:szCs w:val="28"/>
        </w:rPr>
        <w:t xml:space="preserve"> </w:t>
      </w:r>
      <w:r w:rsidR="001E00CD" w:rsidRPr="00D6096E">
        <w:rPr>
          <w:rFonts w:cs="Times New Roman"/>
          <w:szCs w:val="28"/>
        </w:rPr>
        <w:t>відходів</w:t>
      </w:r>
      <w:r w:rsidRPr="00D6096E">
        <w:rPr>
          <w:rFonts w:eastAsia="Times New Roman" w:cs="Times New Roman"/>
          <w:szCs w:val="28"/>
          <w:lang w:eastAsia="ru-RU"/>
        </w:rPr>
        <w:t>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отримувати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додаткові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доходи,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населення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847BCE">
        <w:rPr>
          <w:rFonts w:eastAsia="Times New Roman" w:cs="Times New Roman"/>
          <w:szCs w:val="28"/>
          <w:lang w:eastAsia="ru-RU"/>
        </w:rPr>
        <w:t>міста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отримає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більш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якісні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своєчасного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вивезення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відходів,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буде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покращено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санітарний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стан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вулиць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міської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ради.</w:t>
      </w:r>
    </w:p>
    <w:p w:rsidR="00D6096E" w:rsidRPr="00847BCE" w:rsidRDefault="00D6096E" w:rsidP="00847BCE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47BCE">
        <w:rPr>
          <w:rFonts w:eastAsia="Times New Roman" w:cs="Times New Roman"/>
          <w:b/>
          <w:bCs/>
          <w:szCs w:val="28"/>
          <w:lang w:eastAsia="ru-RU"/>
        </w:rPr>
        <w:t>8.</w:t>
      </w:r>
      <w:r w:rsid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Вигоди,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що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виникають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внаслідок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дії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регуляторного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акта</w:t>
      </w:r>
    </w:p>
    <w:p w:rsidR="00D6096E" w:rsidRPr="00D6096E" w:rsidRDefault="00D6096E" w:rsidP="00847BCE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Внаслідок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дії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запропонованого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регуляторного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акта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встановлюються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економічно-обґрунтовані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тарифи,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які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розраховуються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дотриманням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вимог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lastRenderedPageBreak/>
        <w:t>стандартів,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нормативів,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технологічних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регламентів,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також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вимог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щодо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надання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визначеної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кількості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якості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урахуванням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економічних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природно-кліматичних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особливостей,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це,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свою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чергу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веде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зменшення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ризику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виникнення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інфекційних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захворювань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населення,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що,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кінцевому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результаті,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призведе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скорочення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бюджетних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ресурсів,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які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можуть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додатково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витрачатись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ліквідацію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негативних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явищ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забруднення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території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епідеміологічних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захворювань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мешканців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міської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ради.</w:t>
      </w:r>
    </w:p>
    <w:p w:rsidR="00D6096E" w:rsidRPr="00847BCE" w:rsidRDefault="00D6096E" w:rsidP="00847BCE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47BCE">
        <w:rPr>
          <w:rFonts w:eastAsia="Times New Roman" w:cs="Times New Roman"/>
          <w:b/>
          <w:bCs/>
          <w:szCs w:val="28"/>
          <w:lang w:eastAsia="ru-RU"/>
        </w:rPr>
        <w:t>9.</w:t>
      </w:r>
      <w:r w:rsid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Оцінка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можливості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впровадження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та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виконання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вимог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регуляторного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акта</w:t>
      </w:r>
    </w:p>
    <w:p w:rsidR="00847BCE" w:rsidRDefault="00D6096E" w:rsidP="00847BCE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Так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як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нові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тарифи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є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економічно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обґрунтованими,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згідно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статті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31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Закону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України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«Про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житлово-комунальні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послуги»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впровадження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виконання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вимог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регуляторного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акта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потребує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3005ED">
        <w:rPr>
          <w:rFonts w:eastAsia="Times New Roman" w:cs="Times New Roman"/>
          <w:szCs w:val="28"/>
          <w:lang w:eastAsia="ru-RU"/>
        </w:rPr>
        <w:t xml:space="preserve">значних </w:t>
      </w:r>
      <w:r w:rsidRPr="00D6096E">
        <w:rPr>
          <w:rFonts w:eastAsia="Times New Roman" w:cs="Times New Roman"/>
          <w:szCs w:val="28"/>
          <w:lang w:eastAsia="ru-RU"/>
        </w:rPr>
        <w:t>витрат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міс</w:t>
      </w:r>
      <w:r w:rsidR="003005ED">
        <w:rPr>
          <w:rFonts w:eastAsia="Times New Roman" w:cs="Times New Roman"/>
          <w:szCs w:val="28"/>
          <w:lang w:eastAsia="ru-RU"/>
        </w:rPr>
        <w:t>ько</w:t>
      </w:r>
      <w:r w:rsidRPr="00D6096E">
        <w:rPr>
          <w:rFonts w:eastAsia="Times New Roman" w:cs="Times New Roman"/>
          <w:szCs w:val="28"/>
          <w:lang w:eastAsia="ru-RU"/>
        </w:rPr>
        <w:t>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бюджету.</w:t>
      </w:r>
    </w:p>
    <w:p w:rsidR="00D6096E" w:rsidRPr="00D6096E" w:rsidRDefault="00D6096E" w:rsidP="00847BCE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Впровадження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виконання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вимог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регуляторного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акта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вплине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збільшення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власного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доходу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підприємства.</w:t>
      </w:r>
    </w:p>
    <w:p w:rsidR="00D6096E" w:rsidRPr="00847BCE" w:rsidRDefault="00D6096E" w:rsidP="00847BCE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47BCE">
        <w:rPr>
          <w:rFonts w:eastAsia="Times New Roman" w:cs="Times New Roman"/>
          <w:b/>
          <w:bCs/>
          <w:szCs w:val="28"/>
          <w:lang w:eastAsia="ru-RU"/>
        </w:rPr>
        <w:t>10.</w:t>
      </w:r>
      <w:r w:rsid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Оцінка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ризику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впливу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зовнішніх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чинників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на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дію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регуляторного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акта</w:t>
      </w:r>
    </w:p>
    <w:p w:rsidR="00D6096E" w:rsidRPr="00D6096E" w:rsidRDefault="00D6096E" w:rsidP="00847BCE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Найбільш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впливовими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зовнішніми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чинниками,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що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впливатимуть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дію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регуляторного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акта,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будуть:</w:t>
      </w:r>
    </w:p>
    <w:p w:rsidR="00D6096E" w:rsidRPr="00D6096E" w:rsidRDefault="00D6096E" w:rsidP="00D6096E">
      <w:pPr>
        <w:numPr>
          <w:ilvl w:val="0"/>
          <w:numId w:val="2"/>
        </w:num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зміна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чинного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законодавства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сфері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поводження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відходами;</w:t>
      </w:r>
    </w:p>
    <w:p w:rsidR="00D6096E" w:rsidRPr="00D6096E" w:rsidRDefault="00D6096E" w:rsidP="00D6096E">
      <w:pPr>
        <w:numPr>
          <w:ilvl w:val="0"/>
          <w:numId w:val="2"/>
        </w:num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значне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подорожчання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паливно-мастильних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матеріалів;</w:t>
      </w:r>
    </w:p>
    <w:p w:rsidR="00D6096E" w:rsidRPr="00D6096E" w:rsidRDefault="00D6096E" w:rsidP="00D6096E">
      <w:pPr>
        <w:numPr>
          <w:ilvl w:val="0"/>
          <w:numId w:val="2"/>
        </w:num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збільшення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розмірів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мінімальної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заробітної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плати;</w:t>
      </w:r>
    </w:p>
    <w:p w:rsidR="00D6096E" w:rsidRPr="00D6096E" w:rsidRDefault="00D6096E" w:rsidP="00D6096E">
      <w:pPr>
        <w:numPr>
          <w:ilvl w:val="0"/>
          <w:numId w:val="2"/>
        </w:num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зміна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умов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оподаткування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суб’єкта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господарювання,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що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надає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відповідні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послуги.</w:t>
      </w:r>
    </w:p>
    <w:p w:rsidR="00D6096E" w:rsidRPr="00847BCE" w:rsidRDefault="00D6096E" w:rsidP="00847BCE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47BCE">
        <w:rPr>
          <w:rFonts w:eastAsia="Times New Roman" w:cs="Times New Roman"/>
          <w:b/>
          <w:bCs/>
          <w:szCs w:val="28"/>
          <w:lang w:eastAsia="ru-RU"/>
        </w:rPr>
        <w:t>11.</w:t>
      </w:r>
      <w:r w:rsid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Обґрунтування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строку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чинності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регуляторного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акта</w:t>
      </w:r>
    </w:p>
    <w:p w:rsidR="00D6096E" w:rsidRPr="00D6096E" w:rsidRDefault="00D6096E" w:rsidP="00847BCE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Термін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дії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регуляторного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акта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встановлюється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847BCE">
        <w:rPr>
          <w:rFonts w:eastAsia="Times New Roman" w:cs="Times New Roman"/>
          <w:szCs w:val="28"/>
          <w:lang w:eastAsia="ru-RU"/>
        </w:rPr>
        <w:t xml:space="preserve">як </w:t>
      </w:r>
      <w:r w:rsidRPr="00D6096E">
        <w:rPr>
          <w:rFonts w:eastAsia="Times New Roman" w:cs="Times New Roman"/>
          <w:szCs w:val="28"/>
          <w:lang w:eastAsia="ru-RU"/>
        </w:rPr>
        <w:t>довгостроковий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або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прийняття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нових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нормативних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актів,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але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коригування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може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відбуватись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при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зміні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ставок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податків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зборів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(обов’язкових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платежів),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мінімального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рівня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заробітної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плати,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інших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обов’язкових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платежів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зборів,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цін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тарифів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матеріальні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паливно-енергетичні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ресурси.</w:t>
      </w:r>
    </w:p>
    <w:p w:rsidR="00D6096E" w:rsidRPr="00847BCE" w:rsidRDefault="00D6096E" w:rsidP="00847BCE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47BCE">
        <w:rPr>
          <w:rFonts w:eastAsia="Times New Roman" w:cs="Times New Roman"/>
          <w:b/>
          <w:bCs/>
          <w:szCs w:val="28"/>
          <w:lang w:eastAsia="ru-RU"/>
        </w:rPr>
        <w:t>12.</w:t>
      </w:r>
      <w:r w:rsid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Показники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результативності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регуляторного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акта</w:t>
      </w:r>
    </w:p>
    <w:p w:rsidR="00D6096E" w:rsidRPr="00D6096E" w:rsidRDefault="00D6096E" w:rsidP="00847BCE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Показниками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результативності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даного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регуляторного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акта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є:</w:t>
      </w:r>
    </w:p>
    <w:p w:rsidR="00D6096E" w:rsidRPr="00D6096E" w:rsidRDefault="00D6096E" w:rsidP="00D6096E">
      <w:pPr>
        <w:numPr>
          <w:ilvl w:val="0"/>
          <w:numId w:val="3"/>
        </w:num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lastRenderedPageBreak/>
        <w:t>показник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обсягу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надання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вивозу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твердих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побутових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відходів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кількісному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виразі;</w:t>
      </w:r>
    </w:p>
    <w:p w:rsidR="00D6096E" w:rsidRPr="00D6096E" w:rsidRDefault="00D6096E" w:rsidP="00D6096E">
      <w:pPr>
        <w:numPr>
          <w:ilvl w:val="0"/>
          <w:numId w:val="3"/>
        </w:num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показник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обсягу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надання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вивозу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твердих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побутових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відходів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вартісному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виразі;</w:t>
      </w:r>
    </w:p>
    <w:p w:rsidR="00D6096E" w:rsidRPr="00D6096E" w:rsidRDefault="00D6096E" w:rsidP="00D6096E">
      <w:pPr>
        <w:numPr>
          <w:ilvl w:val="0"/>
          <w:numId w:val="3"/>
        </w:num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показник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надходжень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платежів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надані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послуги;</w:t>
      </w:r>
    </w:p>
    <w:p w:rsidR="00D6096E" w:rsidRPr="00D6096E" w:rsidRDefault="00D6096E" w:rsidP="00D6096E">
      <w:pPr>
        <w:numPr>
          <w:ilvl w:val="0"/>
          <w:numId w:val="3"/>
        </w:num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результат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діяльності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підприємства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(прибуток/збиток);</w:t>
      </w:r>
    </w:p>
    <w:p w:rsidR="00D6096E" w:rsidRPr="00D6096E" w:rsidRDefault="00D6096E" w:rsidP="00D6096E">
      <w:pPr>
        <w:numPr>
          <w:ilvl w:val="0"/>
          <w:numId w:val="3"/>
        </w:num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середньомісячний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процент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оплати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населенням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послуг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="00847BCE" w:rsidRPr="00D6096E">
        <w:rPr>
          <w:rFonts w:cs="Times New Roman"/>
          <w:szCs w:val="28"/>
        </w:rPr>
        <w:t>вивезення</w:t>
      </w:r>
      <w:r w:rsidR="00847BCE">
        <w:rPr>
          <w:rFonts w:cs="Times New Roman"/>
          <w:szCs w:val="28"/>
        </w:rPr>
        <w:t xml:space="preserve"> </w:t>
      </w:r>
      <w:r w:rsidR="00847BCE" w:rsidRPr="00D6096E">
        <w:rPr>
          <w:rFonts w:cs="Times New Roman"/>
          <w:szCs w:val="28"/>
        </w:rPr>
        <w:t>та</w:t>
      </w:r>
      <w:r w:rsidR="00847BCE">
        <w:rPr>
          <w:rFonts w:cs="Times New Roman"/>
          <w:szCs w:val="28"/>
        </w:rPr>
        <w:t xml:space="preserve"> </w:t>
      </w:r>
      <w:r w:rsidR="00847BCE" w:rsidRPr="00D6096E">
        <w:rPr>
          <w:rFonts w:cs="Times New Roman"/>
          <w:szCs w:val="28"/>
        </w:rPr>
        <w:t>захоронення</w:t>
      </w:r>
      <w:r w:rsidR="00847BCE">
        <w:rPr>
          <w:rFonts w:cs="Times New Roman"/>
          <w:szCs w:val="28"/>
        </w:rPr>
        <w:t xml:space="preserve"> </w:t>
      </w:r>
      <w:r w:rsidR="00847BCE" w:rsidRPr="00D6096E">
        <w:rPr>
          <w:rFonts w:cs="Times New Roman"/>
          <w:szCs w:val="28"/>
        </w:rPr>
        <w:t>твердих</w:t>
      </w:r>
      <w:r w:rsidR="00847BCE">
        <w:rPr>
          <w:rFonts w:cs="Times New Roman"/>
          <w:szCs w:val="28"/>
        </w:rPr>
        <w:t xml:space="preserve"> </w:t>
      </w:r>
      <w:r w:rsidR="00847BCE" w:rsidRPr="00D6096E">
        <w:rPr>
          <w:rFonts w:cs="Times New Roman"/>
          <w:szCs w:val="28"/>
        </w:rPr>
        <w:t>побутових</w:t>
      </w:r>
      <w:r w:rsidR="00847BCE">
        <w:rPr>
          <w:rFonts w:cs="Times New Roman"/>
          <w:szCs w:val="28"/>
        </w:rPr>
        <w:t xml:space="preserve"> </w:t>
      </w:r>
      <w:r w:rsidR="00847BCE" w:rsidRPr="00D6096E">
        <w:rPr>
          <w:rFonts w:cs="Times New Roman"/>
          <w:szCs w:val="28"/>
        </w:rPr>
        <w:t>відходів</w:t>
      </w:r>
      <w:r w:rsidRPr="00D6096E">
        <w:rPr>
          <w:rFonts w:eastAsia="Times New Roman" w:cs="Times New Roman"/>
          <w:szCs w:val="28"/>
          <w:lang w:eastAsia="ru-RU"/>
        </w:rPr>
        <w:t>.</w:t>
      </w:r>
    </w:p>
    <w:p w:rsidR="00D6096E" w:rsidRPr="00847BCE" w:rsidRDefault="00D6096E" w:rsidP="00847BCE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47BCE">
        <w:rPr>
          <w:rFonts w:eastAsia="Times New Roman" w:cs="Times New Roman"/>
          <w:b/>
          <w:bCs/>
          <w:szCs w:val="28"/>
          <w:lang w:eastAsia="ru-RU"/>
        </w:rPr>
        <w:t>13.</w:t>
      </w:r>
      <w:r w:rsid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Визначення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заходів,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за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допомогою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яких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буде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здійснюватися</w:t>
      </w:r>
      <w:r w:rsidR="003D60BA" w:rsidRPr="00847BCE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847BCE">
        <w:rPr>
          <w:rFonts w:eastAsia="Times New Roman" w:cs="Times New Roman"/>
          <w:b/>
          <w:bCs/>
          <w:szCs w:val="28"/>
          <w:lang w:eastAsia="ru-RU"/>
        </w:rPr>
        <w:t>відстеження</w:t>
      </w:r>
    </w:p>
    <w:p w:rsidR="00D6096E" w:rsidRPr="00D6096E" w:rsidRDefault="00D6096E" w:rsidP="00847BCE">
      <w:pPr>
        <w:spacing w:line="36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Базове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відстеження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результативності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регуляторного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акта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здійснюється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набрання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ним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чинності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під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час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надходження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пропозицій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зауважень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їх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аналізу.</w:t>
      </w:r>
    </w:p>
    <w:p w:rsidR="00847BCE" w:rsidRDefault="00D6096E" w:rsidP="00D6096E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Повторне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відстеження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результативності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буде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здійснюватись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через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рік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після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набуття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чинності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регуляторного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акта,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результатами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якого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можливо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здійснити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порівняння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показників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базового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та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повторного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відстеження.</w:t>
      </w:r>
    </w:p>
    <w:p w:rsidR="00D6096E" w:rsidRPr="00D6096E" w:rsidRDefault="00D6096E" w:rsidP="00D6096E">
      <w:pPr>
        <w:spacing w:line="360" w:lineRule="auto"/>
        <w:jc w:val="both"/>
        <w:rPr>
          <w:rFonts w:eastAsia="Times New Roman" w:cs="Times New Roman"/>
          <w:szCs w:val="28"/>
          <w:lang w:eastAsia="ru-RU"/>
        </w:rPr>
      </w:pPr>
      <w:r w:rsidRPr="00D6096E">
        <w:rPr>
          <w:rFonts w:eastAsia="Times New Roman" w:cs="Times New Roman"/>
          <w:szCs w:val="28"/>
          <w:lang w:eastAsia="ru-RU"/>
        </w:rPr>
        <w:t>Відстеження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результативності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будуть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проводитись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на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основі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аналізу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статистичних</w:t>
      </w:r>
      <w:r w:rsidR="003D60BA">
        <w:rPr>
          <w:rFonts w:eastAsia="Times New Roman" w:cs="Times New Roman"/>
          <w:szCs w:val="28"/>
          <w:lang w:eastAsia="ru-RU"/>
        </w:rPr>
        <w:t xml:space="preserve"> </w:t>
      </w:r>
      <w:r w:rsidRPr="00D6096E">
        <w:rPr>
          <w:rFonts w:eastAsia="Times New Roman" w:cs="Times New Roman"/>
          <w:szCs w:val="28"/>
          <w:lang w:eastAsia="ru-RU"/>
        </w:rPr>
        <w:t>даних.</w:t>
      </w:r>
    </w:p>
    <w:p w:rsidR="00A41FF4" w:rsidRPr="00D6096E" w:rsidRDefault="00A41FF4" w:rsidP="00D6096E">
      <w:pPr>
        <w:spacing w:line="360" w:lineRule="auto"/>
        <w:jc w:val="both"/>
        <w:rPr>
          <w:rFonts w:cs="Times New Roman"/>
          <w:szCs w:val="28"/>
        </w:rPr>
      </w:pPr>
    </w:p>
    <w:sectPr w:rsidR="00A41FF4" w:rsidRPr="00D6096E" w:rsidSect="00D6096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720C0"/>
    <w:multiLevelType w:val="multilevel"/>
    <w:tmpl w:val="604A8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734592"/>
    <w:multiLevelType w:val="hybridMultilevel"/>
    <w:tmpl w:val="0B647562"/>
    <w:lvl w:ilvl="0" w:tplc="4D008C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366D51"/>
    <w:multiLevelType w:val="hybridMultilevel"/>
    <w:tmpl w:val="95A420D0"/>
    <w:lvl w:ilvl="0" w:tplc="0A6AFF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BA1D11"/>
    <w:multiLevelType w:val="multilevel"/>
    <w:tmpl w:val="7734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1F3276"/>
    <w:multiLevelType w:val="hybridMultilevel"/>
    <w:tmpl w:val="E960B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6E6360"/>
    <w:multiLevelType w:val="hybridMultilevel"/>
    <w:tmpl w:val="7410EBC2"/>
    <w:lvl w:ilvl="0" w:tplc="3236A1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02F0ABF"/>
    <w:multiLevelType w:val="multilevel"/>
    <w:tmpl w:val="25B02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96E"/>
    <w:rsid w:val="001E00CD"/>
    <w:rsid w:val="002426A5"/>
    <w:rsid w:val="002A5EAB"/>
    <w:rsid w:val="002E4EB5"/>
    <w:rsid w:val="003005ED"/>
    <w:rsid w:val="003D60BA"/>
    <w:rsid w:val="00431E62"/>
    <w:rsid w:val="005A553E"/>
    <w:rsid w:val="00824D17"/>
    <w:rsid w:val="00847BCE"/>
    <w:rsid w:val="00964E64"/>
    <w:rsid w:val="00A41FF4"/>
    <w:rsid w:val="00B26E38"/>
    <w:rsid w:val="00BD782B"/>
    <w:rsid w:val="00CA60EB"/>
    <w:rsid w:val="00D6096E"/>
    <w:rsid w:val="00D86D04"/>
    <w:rsid w:val="00EB0E9D"/>
    <w:rsid w:val="00F8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FF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096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D6096E"/>
    <w:rPr>
      <w:b/>
      <w:bCs/>
    </w:rPr>
  </w:style>
  <w:style w:type="paragraph" w:styleId="a5">
    <w:name w:val="List Paragraph"/>
    <w:basedOn w:val="a"/>
    <w:uiPriority w:val="34"/>
    <w:qFormat/>
    <w:rsid w:val="00D6096E"/>
    <w:pPr>
      <w:ind w:left="720"/>
      <w:contextualSpacing/>
    </w:pPr>
  </w:style>
  <w:style w:type="table" w:styleId="a6">
    <w:name w:val="Table Grid"/>
    <w:basedOn w:val="a1"/>
    <w:uiPriority w:val="59"/>
    <w:rsid w:val="005A553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FF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096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D6096E"/>
    <w:rPr>
      <w:b/>
      <w:bCs/>
    </w:rPr>
  </w:style>
  <w:style w:type="paragraph" w:styleId="a5">
    <w:name w:val="List Paragraph"/>
    <w:basedOn w:val="a"/>
    <w:uiPriority w:val="34"/>
    <w:qFormat/>
    <w:rsid w:val="00D6096E"/>
    <w:pPr>
      <w:ind w:left="720"/>
      <w:contextualSpacing/>
    </w:pPr>
  </w:style>
  <w:style w:type="table" w:styleId="a6">
    <w:name w:val="Table Grid"/>
    <w:basedOn w:val="a1"/>
    <w:uiPriority w:val="59"/>
    <w:rsid w:val="005A553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1619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Julia</cp:lastModifiedBy>
  <cp:revision>2</cp:revision>
  <dcterms:created xsi:type="dcterms:W3CDTF">2018-11-27T06:51:00Z</dcterms:created>
  <dcterms:modified xsi:type="dcterms:W3CDTF">2018-11-27T06:51:00Z</dcterms:modified>
</cp:coreProperties>
</file>