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C4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B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E812C4" w:rsidRPr="00B01365">
        <w:rPr>
          <w:rFonts w:ascii="Times New Roman" w:hAnsi="Times New Roman" w:cs="Times New Roman"/>
          <w:sz w:val="28"/>
          <w:szCs w:val="28"/>
          <w:lang w:val="uk-UA"/>
        </w:rPr>
        <w:t>даток</w:t>
      </w:r>
    </w:p>
    <w:p w:rsidR="00B01365" w:rsidRPr="00B01365" w:rsidRDefault="00B01365" w:rsidP="00E5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B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6C5C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62D7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>-ої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</w:p>
    <w:p w:rsidR="00B01365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Гадяцької міської ради </w:t>
      </w:r>
    </w:p>
    <w:p w:rsidR="00B01365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сьомого скликання </w:t>
      </w:r>
    </w:p>
    <w:p w:rsidR="00B01365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E90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62D7B">
        <w:rPr>
          <w:rFonts w:ascii="Times New Roman" w:hAnsi="Times New Roman" w:cs="Times New Roman"/>
          <w:sz w:val="28"/>
          <w:szCs w:val="28"/>
          <w:lang w:val="uk-UA"/>
        </w:rPr>
        <w:t>0.08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E812C4" w:rsidRPr="00B01365" w:rsidRDefault="00E812C4" w:rsidP="00B01365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E812C4" w:rsidRPr="00B01365" w:rsidRDefault="00E812C4" w:rsidP="00E812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Default="00E812C4" w:rsidP="00E812C4">
      <w:pPr>
        <w:rPr>
          <w:lang w:val="uk-UA"/>
        </w:rPr>
      </w:pPr>
    </w:p>
    <w:p w:rsidR="00E812C4" w:rsidRPr="00D01B45" w:rsidRDefault="00E812C4" w:rsidP="00D01B45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</w:pPr>
      <w:r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ПРОГРАМА</w:t>
      </w:r>
    </w:p>
    <w:p w:rsidR="0033702B" w:rsidRPr="00D01B45" w:rsidRDefault="001369C5" w:rsidP="00C52D1D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</w:pPr>
      <w:r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ф</w:t>
      </w:r>
      <w:proofErr w:type="spellStart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інансов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ої</w:t>
      </w:r>
      <w:proofErr w:type="spellEnd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 xml:space="preserve"> 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 xml:space="preserve"> </w:t>
      </w:r>
      <w:proofErr w:type="spellStart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підтримк</w:t>
      </w:r>
      <w:proofErr w:type="spellEnd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и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 xml:space="preserve"> </w:t>
      </w:r>
      <w:r w:rsidR="00F30037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к</w:t>
      </w:r>
      <w:r w:rsidR="00F149E6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омунального підприємства теплового господарства «</w:t>
      </w:r>
      <w:proofErr w:type="spellStart"/>
      <w:r w:rsidR="00F149E6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Гадячтеплоенерго</w:t>
      </w:r>
      <w:proofErr w:type="spellEnd"/>
      <w:r w:rsidR="00F149E6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»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 xml:space="preserve"> на 2020 рік</w:t>
      </w: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B01365">
      <w:pPr>
        <w:tabs>
          <w:tab w:val="left" w:pos="3810"/>
        </w:tabs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E90B19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2020</w:t>
      </w:r>
    </w:p>
    <w:p w:rsidR="001A6302" w:rsidRDefault="001A6302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bookmark3"/>
    </w:p>
    <w:p w:rsidR="004D517F" w:rsidRDefault="004D517F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548A8" w:rsidRDefault="00D7474B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523D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1</w:t>
      </w:r>
      <w:bookmarkEnd w:id="0"/>
      <w:r w:rsidR="00B523D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.Паспорт</w:t>
      </w:r>
    </w:p>
    <w:p w:rsidR="00F149E6" w:rsidRPr="00AD0A3E" w:rsidRDefault="00C453CC" w:rsidP="00F149E6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28"/>
          <w:szCs w:val="28"/>
          <w:lang w:val="uk-UA" w:eastAsia="ru-RU"/>
        </w:rPr>
      </w:pP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Програми</w:t>
      </w:r>
      <w:r w:rsidR="00F548A8" w:rsidRPr="00AD0A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ф</w:t>
      </w:r>
      <w:proofErr w:type="spellStart"/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інансов</w:t>
      </w: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ої</w:t>
      </w:r>
      <w:proofErr w:type="spellEnd"/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підтримк</w:t>
      </w:r>
      <w:proofErr w:type="spellEnd"/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и</w:t>
      </w: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</w:t>
      </w:r>
      <w:r w:rsidR="00F149E6"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омунального підприємства теплового господарства «</w:t>
      </w:r>
      <w:proofErr w:type="spellStart"/>
      <w:r w:rsidR="00F149E6"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F149E6"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 на 2020 рік</w:t>
      </w:r>
    </w:p>
    <w:p w:rsidR="00F15584" w:rsidRPr="00F15584" w:rsidRDefault="00F15584" w:rsidP="00F149E6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4852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4169"/>
        <w:gridCol w:w="4180"/>
      </w:tblGrid>
      <w:tr w:rsidR="00F15584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архітектури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госпо</w:t>
            </w:r>
            <w:r w:rsidR="00F91630"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F91630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Гадяцької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F15584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архітектури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госпо</w:t>
            </w:r>
            <w:r w:rsidR="00F91630"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F91630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Гадяцької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</w:tc>
      </w:tr>
      <w:tr w:rsidR="00F15584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84" w:rsidRPr="00F15584" w:rsidTr="007D4AA1">
        <w:trPr>
          <w:cantSplit/>
          <w:trHeight w:val="276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Співрозробник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325C0" w:rsidRPr="00B20032" w:rsidRDefault="00A325C0" w:rsidP="00A325C0">
            <w:pPr>
              <w:tabs>
                <w:tab w:val="left" w:pos="3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</w:pP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Комунальн</w:t>
            </w:r>
            <w:r w:rsidR="00561B3E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е</w:t>
            </w: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підприємств</w:t>
            </w:r>
            <w:r w:rsidR="00561B3E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о</w:t>
            </w: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теплового господарства «</w:t>
            </w:r>
            <w:proofErr w:type="spellStart"/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Гадячтеплоенерго</w:t>
            </w:r>
            <w:proofErr w:type="spellEnd"/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» </w:t>
            </w:r>
          </w:p>
          <w:p w:rsidR="00F15584" w:rsidRPr="00B20032" w:rsidRDefault="00F15584" w:rsidP="004D51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325C0" w:rsidRPr="00B20032" w:rsidRDefault="00A325C0" w:rsidP="00A325C0">
            <w:pPr>
              <w:tabs>
                <w:tab w:val="left" w:pos="3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</w:pP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Комунальн</w:t>
            </w:r>
            <w:r w:rsidR="00561B3E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е</w:t>
            </w: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підприємств</w:t>
            </w:r>
            <w:r w:rsidR="00561B3E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о</w:t>
            </w: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теплового господарства «</w:t>
            </w:r>
            <w:proofErr w:type="spellStart"/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Гадячтеплоенерго</w:t>
            </w:r>
            <w:proofErr w:type="spellEnd"/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» </w:t>
            </w:r>
          </w:p>
          <w:p w:rsidR="00755B5E" w:rsidRPr="00B20032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B20032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B20032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B20032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виконанні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B20032" w:rsidRDefault="00755B5E" w:rsidP="00A26E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032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A26EFF" w:rsidRPr="00B20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усього, в тому числі: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6628FF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46,400</w:t>
            </w:r>
            <w:r w:rsidR="00755B5E" w:rsidRPr="00B2003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proofErr w:type="spellStart"/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58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коштів бюджету </w:t>
            </w:r>
            <w:r w:rsidR="008679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6628FF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46,400</w:t>
            </w:r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оштів інших джерел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-</w:t>
            </w:r>
          </w:p>
        </w:tc>
      </w:tr>
    </w:tbl>
    <w:p w:rsidR="00D2604C" w:rsidRDefault="00D2604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C453CC" w:rsidRDefault="00C453C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C453CC" w:rsidRDefault="00C453C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C453CC" w:rsidRDefault="00C453C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F15584" w:rsidRDefault="00D7474B" w:rsidP="00F24201">
      <w:pPr>
        <w:pStyle w:val="2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Загальні положення</w:t>
      </w:r>
    </w:p>
    <w:p w:rsidR="00931825" w:rsidRDefault="00931825" w:rsidP="00931825">
      <w:pPr>
        <w:tabs>
          <w:tab w:val="left" w:pos="357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D2604C" w:rsidRPr="00931825" w:rsidRDefault="00D2604C" w:rsidP="00340C3D">
      <w:pPr>
        <w:tabs>
          <w:tab w:val="left" w:pos="38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Програма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фінансов</w:t>
      </w: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ої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підтримка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</w:t>
      </w:r>
      <w:r w:rsidR="00340C3D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омунального підприємства теплового господарства «</w:t>
      </w:r>
      <w:proofErr w:type="spellStart"/>
      <w:r w:rsidR="00340C3D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340C3D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 на 2020 рік</w:t>
      </w:r>
      <w:r w:rsid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(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далі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Програма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)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розроблена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на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виконання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ст. 91 Бюджетного кодексу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України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,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відповідно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до Закону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України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«Про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місцеве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самоврядування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в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Україні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».</w:t>
      </w:r>
    </w:p>
    <w:p w:rsidR="00E4536C" w:rsidRPr="00E4536C" w:rsidRDefault="00F24201" w:rsidP="00E4536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     </w:t>
      </w:r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Комунальн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е</w:t>
      </w:r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підприємств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</w:t>
      </w:r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теплового господарства «</w:t>
      </w:r>
      <w:proofErr w:type="spellStart"/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,  є 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важливими</w:t>
      </w:r>
      <w:proofErr w:type="spellEnd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підприємством</w:t>
      </w:r>
      <w:proofErr w:type="spellEnd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для </w:t>
      </w:r>
      <w:r w:rsidR="0093182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міста Гадяча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.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Підприємство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 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надає послуги </w:t>
      </w:r>
      <w:r w:rsidR="00E52CF8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з 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централізованого опалення та постачання гарячого води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.</w:t>
      </w:r>
      <w:r w:rsidR="007816C5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>ережі частково зношені, обладнання застаріле морально і фізично, в результаті чого збільшується собівартість надання послуг, все інженерне обладнання  потребує постійного і належного утримання, на що в свою чергу потрібні значні кошти, щоб розраховуватись з виконавцями послуг, які є складовими тарифу, своєчасно сплачувати працівникам підприємства заробітну плату та податки.</w:t>
      </w:r>
    </w:p>
    <w:p w:rsidR="00A9559F" w:rsidRPr="00E4536C" w:rsidRDefault="00F24201" w:rsidP="00E4536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     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>Враховуючи соціальну значимість підприємств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житті та побуті населення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>, важкий фінансово-економічний стан підприє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>мства,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Бюджетним Кодексом України, Законом України «Про житлово-комунальні послуги» розроблено дану Програму. </w:t>
      </w:r>
    </w:p>
    <w:p w:rsidR="00A9559F" w:rsidRPr="00E4536C" w:rsidRDefault="00A9559F" w:rsidP="00E45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0A97" w:rsidRPr="00F24201" w:rsidRDefault="005F0A97" w:rsidP="005F0A97">
      <w:pPr>
        <w:pStyle w:val="2"/>
        <w:shd w:val="clear" w:color="auto" w:fill="auto"/>
        <w:spacing w:after="0" w:line="240" w:lineRule="auto"/>
        <w:rPr>
          <w:sz w:val="28"/>
          <w:szCs w:val="28"/>
        </w:rPr>
      </w:pPr>
      <w:bookmarkStart w:id="1" w:name="_Toc326789805"/>
      <w:bookmarkEnd w:id="1"/>
      <w:r w:rsidRPr="00F24201">
        <w:rPr>
          <w:sz w:val="28"/>
          <w:szCs w:val="28"/>
          <w:lang w:val="uk-UA"/>
        </w:rPr>
        <w:t>3. Мета Програми</w:t>
      </w:r>
    </w:p>
    <w:p w:rsidR="005F0A97" w:rsidRPr="00F24201" w:rsidRDefault="005F0A97" w:rsidP="005F0A97">
      <w:pPr>
        <w:pStyle w:val="a5"/>
        <w:widowControl/>
        <w:tabs>
          <w:tab w:val="clear" w:pos="840"/>
          <w:tab w:val="left" w:pos="414"/>
        </w:tabs>
        <w:autoSpaceDE/>
        <w:spacing w:line="240" w:lineRule="auto"/>
        <w:jc w:val="both"/>
        <w:rPr>
          <w:sz w:val="28"/>
          <w:szCs w:val="28"/>
        </w:rPr>
      </w:pPr>
    </w:p>
    <w:p w:rsidR="00F24201" w:rsidRPr="001D6CA0" w:rsidRDefault="005F0A97" w:rsidP="00F242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CA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Головна мета </w:t>
      </w:r>
      <w:proofErr w:type="spellStart"/>
      <w:r w:rsidRPr="001D6CA0">
        <w:rPr>
          <w:rStyle w:val="a4"/>
          <w:rFonts w:ascii="Times New Roman" w:hAnsi="Times New Roman" w:cs="Times New Roman"/>
          <w:b w:val="0"/>
          <w:sz w:val="28"/>
          <w:szCs w:val="28"/>
        </w:rPr>
        <w:t>Програми</w:t>
      </w:r>
      <w:proofErr w:type="spellEnd"/>
      <w:r w:rsidRPr="001D6CA0">
        <w:rPr>
          <w:rStyle w:val="a4"/>
          <w:rFonts w:ascii="Times New Roman" w:hAnsi="Times New Roman" w:cs="Times New Roman"/>
          <w:b w:val="0"/>
          <w:sz w:val="28"/>
          <w:szCs w:val="28"/>
        </w:rPr>
        <w:t>:</w:t>
      </w:r>
      <w:r w:rsidRPr="001D6C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0A97" w:rsidRPr="00F24201" w:rsidRDefault="005F0A97" w:rsidP="00F242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20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="00AA06C6">
        <w:rPr>
          <w:rFonts w:ascii="Times New Roman" w:hAnsi="Times New Roman" w:cs="Times New Roman"/>
          <w:sz w:val="28"/>
          <w:szCs w:val="28"/>
          <w:lang w:val="uk-UA"/>
        </w:rPr>
        <w:t xml:space="preserve"> мереж</w:t>
      </w:r>
      <w:r w:rsidR="007816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4201">
        <w:rPr>
          <w:rFonts w:ascii="Times New Roman" w:hAnsi="Times New Roman" w:cs="Times New Roman"/>
          <w:sz w:val="28"/>
          <w:szCs w:val="28"/>
        </w:rPr>
        <w:t xml:space="preserve">з </w:t>
      </w:r>
      <w:r w:rsidR="007816C5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централізованого</w:t>
      </w:r>
      <w:proofErr w:type="gramEnd"/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опалення та постачання гарячо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ї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води</w:t>
      </w:r>
      <w:r w:rsidRPr="00F242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забезпечен</w:t>
      </w:r>
      <w:r w:rsidR="00931825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825">
        <w:rPr>
          <w:rFonts w:ascii="Times New Roman" w:hAnsi="Times New Roman" w:cs="Times New Roman"/>
          <w:sz w:val="28"/>
          <w:szCs w:val="28"/>
        </w:rPr>
        <w:t>стабільності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82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F2420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24201">
        <w:rPr>
          <w:rFonts w:ascii="Times New Roman" w:hAnsi="Times New Roman" w:cs="Times New Roman"/>
          <w:sz w:val="28"/>
          <w:szCs w:val="28"/>
        </w:rPr>
        <w:t>.</w:t>
      </w:r>
    </w:p>
    <w:p w:rsidR="00D909BD" w:rsidRDefault="00D909BD" w:rsidP="005F0A97">
      <w:pPr>
        <w:tabs>
          <w:tab w:val="left" w:pos="720"/>
        </w:tabs>
        <w:spacing w:line="240" w:lineRule="auto"/>
        <w:jc w:val="both"/>
        <w:rPr>
          <w:sz w:val="28"/>
          <w:szCs w:val="28"/>
        </w:rPr>
      </w:pPr>
    </w:p>
    <w:p w:rsidR="006B34E0" w:rsidRPr="006B34E0" w:rsidRDefault="00D909BD" w:rsidP="00DD07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201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D909BD" w:rsidRPr="00F24201" w:rsidRDefault="00F24201" w:rsidP="00F24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за такими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>:</w:t>
      </w:r>
    </w:p>
    <w:p w:rsidR="00D909BD" w:rsidRPr="00F24201" w:rsidRDefault="00370205" w:rsidP="00F2420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909BD" w:rsidRPr="00F2420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беззбиткового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безпере</w:t>
      </w:r>
      <w:r w:rsidR="003F5FD4">
        <w:rPr>
          <w:rFonts w:ascii="Times New Roman" w:hAnsi="Times New Roman" w:cs="Times New Roman"/>
          <w:sz w:val="28"/>
          <w:szCs w:val="28"/>
        </w:rPr>
        <w:t>бійного</w:t>
      </w:r>
      <w:proofErr w:type="spellEnd"/>
      <w:r w:rsidR="003F5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F5FD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="003F5FD4">
        <w:rPr>
          <w:rFonts w:ascii="Times New Roman" w:hAnsi="Times New Roman" w:cs="Times New Roman"/>
          <w:sz w:val="28"/>
          <w:szCs w:val="28"/>
        </w:rPr>
        <w:t xml:space="preserve"> </w:t>
      </w:r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gramEnd"/>
      <w:r w:rsidR="00D909BD" w:rsidRPr="00F24201">
        <w:rPr>
          <w:rFonts w:ascii="Times New Roman" w:hAnsi="Times New Roman" w:cs="Times New Roman"/>
          <w:sz w:val="28"/>
          <w:szCs w:val="28"/>
        </w:rPr>
        <w:t>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3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спрямування зусиль та потенціалу підприємства на забезпечення ви</w:t>
      </w:r>
      <w:r w:rsidR="00DD0747">
        <w:rPr>
          <w:sz w:val="28"/>
          <w:szCs w:val="28"/>
        </w:rPr>
        <w:t xml:space="preserve">сокоякісного надання </w:t>
      </w:r>
      <w:r w:rsidR="00D909BD" w:rsidRPr="00F24201">
        <w:rPr>
          <w:sz w:val="28"/>
          <w:szCs w:val="28"/>
        </w:rPr>
        <w:t xml:space="preserve"> послуг;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D909BD" w:rsidRPr="00F242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174EE"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збереження</w:t>
      </w:r>
      <w:r w:rsidR="00DD0747">
        <w:rPr>
          <w:sz w:val="28"/>
          <w:szCs w:val="28"/>
        </w:rPr>
        <w:t xml:space="preserve"> дієздатності підприємства та його</w:t>
      </w:r>
      <w:r w:rsidR="00D909BD" w:rsidRPr="00F24201">
        <w:rPr>
          <w:sz w:val="28"/>
          <w:szCs w:val="28"/>
        </w:rPr>
        <w:t xml:space="preserve"> трудового потенціалу;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4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</w:t>
      </w:r>
      <w:r w:rsidR="00D174EE"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збільшення обсягів виробництва (надання) послуг;</w:t>
      </w:r>
    </w:p>
    <w:p w:rsidR="00D909BD" w:rsidRPr="00F24201" w:rsidRDefault="003F5FD4" w:rsidP="00F24201">
      <w:pPr>
        <w:pStyle w:val="a5"/>
        <w:widowControl/>
        <w:tabs>
          <w:tab w:val="clear" w:pos="840"/>
          <w:tab w:val="left" w:pos="74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0205">
        <w:rPr>
          <w:sz w:val="28"/>
          <w:szCs w:val="28"/>
        </w:rPr>
        <w:t xml:space="preserve">- </w:t>
      </w:r>
      <w:r w:rsidR="00D909BD" w:rsidRPr="00F24201">
        <w:rPr>
          <w:sz w:val="28"/>
          <w:szCs w:val="28"/>
        </w:rPr>
        <w:t xml:space="preserve"> збереження та підвищення заробітної плати працівникам на рівні законодавчо  встановлених норм, недопущення заборгованості з виплати заробітної плати та за спожиті енергоносії;</w:t>
      </w:r>
    </w:p>
    <w:p w:rsidR="00D909BD" w:rsidRDefault="00370205" w:rsidP="006B34E0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покращення технічного забезпечення діяльності підприємства, як</w:t>
      </w:r>
      <w:r w:rsidR="003F5FD4">
        <w:rPr>
          <w:sz w:val="28"/>
          <w:szCs w:val="28"/>
        </w:rPr>
        <w:t xml:space="preserve">ості надання </w:t>
      </w:r>
      <w:r w:rsidR="00D909BD" w:rsidRPr="00F24201">
        <w:rPr>
          <w:sz w:val="28"/>
          <w:szCs w:val="28"/>
        </w:rPr>
        <w:t xml:space="preserve"> послуг</w:t>
      </w:r>
      <w:r w:rsidR="00DD0747">
        <w:rPr>
          <w:sz w:val="28"/>
          <w:szCs w:val="28"/>
        </w:rPr>
        <w:t xml:space="preserve"> з </w:t>
      </w:r>
      <w:r w:rsidR="00D174EE">
        <w:rPr>
          <w:color w:val="4D4D4D"/>
          <w:sz w:val="28"/>
          <w:szCs w:val="28"/>
          <w:lang w:eastAsia="ru-RU"/>
        </w:rPr>
        <w:t>централізованого опалення та постачання гарячо</w:t>
      </w:r>
      <w:r w:rsidR="00F30037">
        <w:rPr>
          <w:color w:val="4D4D4D"/>
          <w:sz w:val="28"/>
          <w:szCs w:val="28"/>
          <w:lang w:eastAsia="ru-RU"/>
        </w:rPr>
        <w:t>ї</w:t>
      </w:r>
      <w:r w:rsidR="00D174EE">
        <w:rPr>
          <w:color w:val="4D4D4D"/>
          <w:sz w:val="28"/>
          <w:szCs w:val="28"/>
          <w:lang w:eastAsia="ru-RU"/>
        </w:rPr>
        <w:t xml:space="preserve"> води</w:t>
      </w:r>
      <w:r w:rsidR="0059187E">
        <w:rPr>
          <w:sz w:val="28"/>
          <w:szCs w:val="28"/>
        </w:rPr>
        <w:t>.</w:t>
      </w:r>
      <w:r w:rsidR="00D909BD" w:rsidRPr="00F24201">
        <w:rPr>
          <w:sz w:val="28"/>
          <w:szCs w:val="28"/>
        </w:rPr>
        <w:t xml:space="preserve"> </w:t>
      </w:r>
    </w:p>
    <w:p w:rsidR="006B34E0" w:rsidRPr="006B34E0" w:rsidRDefault="006B34E0" w:rsidP="006B34E0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</w:p>
    <w:p w:rsidR="00D909BD" w:rsidRPr="001D6CA0" w:rsidRDefault="00D2604C" w:rsidP="00D909BD">
      <w:pPr>
        <w:pStyle w:val="1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  <w:r w:rsidRPr="001D6CA0">
        <w:rPr>
          <w:color w:val="4D4D4D"/>
          <w:sz w:val="28"/>
          <w:szCs w:val="28"/>
        </w:rPr>
        <w:lastRenderedPageBreak/>
        <w:t> </w:t>
      </w:r>
      <w:r w:rsidR="00D909BD" w:rsidRPr="001D6CA0">
        <w:rPr>
          <w:sz w:val="28"/>
          <w:szCs w:val="28"/>
          <w:lang w:val="uk-UA"/>
        </w:rPr>
        <w:t>5. Фінансування Програми</w:t>
      </w:r>
    </w:p>
    <w:p w:rsidR="00D909BD" w:rsidRPr="001D6CA0" w:rsidRDefault="00D909BD" w:rsidP="00D909BD">
      <w:pPr>
        <w:pStyle w:val="1"/>
        <w:keepNext/>
        <w:keepLines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</w:p>
    <w:p w:rsidR="00D909BD" w:rsidRPr="001D6CA0" w:rsidRDefault="00D909BD" w:rsidP="00D909BD">
      <w:pPr>
        <w:pStyle w:val="1"/>
        <w:keepNext/>
        <w:keepLines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1D6CA0">
        <w:rPr>
          <w:b w:val="0"/>
          <w:sz w:val="28"/>
          <w:szCs w:val="28"/>
          <w:lang w:val="uk-UA"/>
        </w:rPr>
        <w:t xml:space="preserve"> Фінансування заходів здійснюється за рахунок:</w:t>
      </w:r>
    </w:p>
    <w:p w:rsidR="00D909BD" w:rsidRPr="001D6CA0" w:rsidRDefault="00D909BD" w:rsidP="00D909BD">
      <w:pPr>
        <w:pStyle w:val="a5"/>
        <w:widowControl/>
        <w:tabs>
          <w:tab w:val="clear" w:pos="840"/>
          <w:tab w:val="left" w:pos="735"/>
        </w:tabs>
        <w:autoSpaceDE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 xml:space="preserve">-  коштів </w:t>
      </w:r>
      <w:r w:rsidR="00744D7E">
        <w:rPr>
          <w:sz w:val="28"/>
          <w:szCs w:val="28"/>
        </w:rPr>
        <w:t>бюджету міської об’єднаної територіальної громади</w:t>
      </w:r>
      <w:r w:rsidRPr="001D6CA0">
        <w:rPr>
          <w:sz w:val="28"/>
          <w:szCs w:val="28"/>
        </w:rPr>
        <w:t>;</w:t>
      </w:r>
    </w:p>
    <w:p w:rsidR="00D909BD" w:rsidRPr="001D6CA0" w:rsidRDefault="00D909BD" w:rsidP="00D909BD">
      <w:pPr>
        <w:pStyle w:val="a5"/>
        <w:widowControl/>
        <w:tabs>
          <w:tab w:val="clear" w:pos="840"/>
          <w:tab w:val="left" w:pos="730"/>
        </w:tabs>
        <w:autoSpaceDE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>-  інших джерел, не заборонених чинним законодавством України.</w:t>
      </w:r>
    </w:p>
    <w:p w:rsidR="00AD703C" w:rsidRPr="001C7CCD" w:rsidRDefault="00AD703C" w:rsidP="00AD703C">
      <w:pPr>
        <w:pStyle w:val="a3"/>
        <w:spacing w:after="165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</w:t>
      </w:r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proofErr w:type="spellEnd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</w:t>
      </w:r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ової</w:t>
      </w:r>
      <w:proofErr w:type="spellEnd"/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proofErr w:type="gramEnd"/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</w:t>
      </w:r>
      <w:r w:rsidR="00EE15D8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омунального підприємства теплового господарства «</w:t>
      </w:r>
      <w:proofErr w:type="spellStart"/>
      <w:r w:rsidR="00EE15D8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EE15D8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 на 2020 рік</w:t>
      </w:r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441" w:type="dxa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4667"/>
        <w:gridCol w:w="2506"/>
        <w:gridCol w:w="2268"/>
      </w:tblGrid>
      <w:tr w:rsidR="00E81C2F" w:rsidRPr="00E81C2F" w:rsidTr="00E81C2F">
        <w:trPr>
          <w:trHeight w:val="1393"/>
        </w:trPr>
        <w:tc>
          <w:tcPr>
            <w:tcW w:w="4667" w:type="dxa"/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Напрамки</w:t>
            </w:r>
            <w:proofErr w:type="spellEnd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фінансової підтримки комунального підприємства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Усього витрат на виконання програми, </w:t>
            </w:r>
          </w:p>
          <w:p w:rsidR="00AD703C" w:rsidRPr="00E81C2F" w:rsidRDefault="00AD703C" w:rsidP="00021B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( </w:t>
            </w:r>
            <w:proofErr w:type="spellStart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.)</w:t>
            </w:r>
          </w:p>
        </w:tc>
      </w:tr>
      <w:tr w:rsidR="00E81C2F" w:rsidRPr="00E81C2F" w:rsidTr="00E81C2F">
        <w:tc>
          <w:tcPr>
            <w:tcW w:w="4667" w:type="dxa"/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9F7AF6" w:rsidRPr="00E81C2F" w:rsidTr="00E81C2F">
        <w:tc>
          <w:tcPr>
            <w:tcW w:w="4667" w:type="dxa"/>
            <w:tcMar>
              <w:left w:w="43" w:type="dxa"/>
            </w:tcMar>
          </w:tcPr>
          <w:p w:rsidR="009F7AF6" w:rsidRPr="005926BA" w:rsidRDefault="005926BA" w:rsidP="002179CB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592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Фінансова допомога на оплату послуг з </w:t>
            </w:r>
            <w:r w:rsidR="00217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повірки засобів вимірювальної техніки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9F7AF6" w:rsidRPr="0047339B" w:rsidRDefault="009F7AF6" w:rsidP="009F7AF6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47339B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9F7AF6" w:rsidRPr="0047339B" w:rsidRDefault="002179CB" w:rsidP="009F7AF6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46,400</w:t>
            </w:r>
          </w:p>
        </w:tc>
      </w:tr>
      <w:tr w:rsidR="00E81C2F" w:rsidRPr="00E81C2F" w:rsidTr="00E81C2F">
        <w:trPr>
          <w:trHeight w:val="373"/>
        </w:trPr>
        <w:tc>
          <w:tcPr>
            <w:tcW w:w="4667" w:type="dxa"/>
            <w:tcMar>
              <w:left w:w="43" w:type="dxa"/>
            </w:tcMar>
          </w:tcPr>
          <w:p w:rsidR="00AD703C" w:rsidRPr="009F7AF6" w:rsidRDefault="00021BBB" w:rsidP="00F6301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</w:t>
            </w:r>
            <w:r w:rsidR="00AD703C" w:rsidRP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9F7AF6" w:rsidRDefault="00AD703C" w:rsidP="00F630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9F7AF6" w:rsidRDefault="002179CB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46,400</w:t>
            </w:r>
          </w:p>
        </w:tc>
      </w:tr>
    </w:tbl>
    <w:p w:rsidR="00D909BD" w:rsidRDefault="00D909BD" w:rsidP="00D909BD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:rsidR="00021BBB" w:rsidRDefault="0081722F" w:rsidP="00021BBB">
      <w:pPr>
        <w:pStyle w:val="21"/>
        <w:spacing w:after="0" w:line="240" w:lineRule="auto"/>
        <w:jc w:val="center"/>
      </w:pPr>
      <w:r w:rsidRPr="0081722F">
        <w:rPr>
          <w:b/>
          <w:sz w:val="28"/>
          <w:szCs w:val="28"/>
        </w:rPr>
        <w:t>6</w:t>
      </w:r>
      <w:r w:rsidR="00021BBB">
        <w:rPr>
          <w:b/>
          <w:sz w:val="28"/>
          <w:szCs w:val="28"/>
          <w:lang w:val="uk-UA"/>
        </w:rPr>
        <w:t>. Порядок використання коштів бюджету</w:t>
      </w:r>
      <w:r w:rsidR="00311F8B">
        <w:rPr>
          <w:b/>
          <w:sz w:val="28"/>
          <w:szCs w:val="28"/>
          <w:lang w:val="uk-UA"/>
        </w:rPr>
        <w:t xml:space="preserve"> </w:t>
      </w:r>
      <w:r w:rsidR="00BC5FB3">
        <w:rPr>
          <w:b/>
          <w:sz w:val="28"/>
          <w:szCs w:val="28"/>
          <w:lang w:val="uk-UA"/>
        </w:rPr>
        <w:t xml:space="preserve">Гадяцької </w:t>
      </w:r>
      <w:r w:rsidR="00311F8B">
        <w:rPr>
          <w:b/>
          <w:sz w:val="28"/>
          <w:szCs w:val="28"/>
          <w:lang w:val="uk-UA"/>
        </w:rPr>
        <w:t>міської ОТГ</w:t>
      </w:r>
      <w:r w:rsidR="00021BBB">
        <w:rPr>
          <w:b/>
          <w:sz w:val="28"/>
          <w:szCs w:val="28"/>
          <w:lang w:val="uk-UA"/>
        </w:rPr>
        <w:t>, передбачених на реалізацію Програми</w:t>
      </w:r>
    </w:p>
    <w:p w:rsidR="00021BBB" w:rsidRDefault="00021BBB" w:rsidP="00021BBB">
      <w:pPr>
        <w:pStyle w:val="21"/>
        <w:spacing w:after="0" w:line="240" w:lineRule="auto"/>
        <w:jc w:val="both"/>
        <w:rPr>
          <w:sz w:val="22"/>
          <w:szCs w:val="22"/>
          <w:shd w:val="clear" w:color="auto" w:fill="C0C0C0"/>
          <w:lang w:val="uk-UA"/>
        </w:rPr>
      </w:pPr>
    </w:p>
    <w:p w:rsidR="00021BBB" w:rsidRPr="0081722F" w:rsidRDefault="0081722F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 xml:space="preserve">6.1. Фінансова підтримка за рахунок бюджетних коштів може надаватися на безповоротній </w:t>
      </w:r>
      <w:r>
        <w:rPr>
          <w:sz w:val="28"/>
          <w:szCs w:val="28"/>
          <w:lang w:val="uk-UA"/>
        </w:rPr>
        <w:t xml:space="preserve">чи поворотній </w:t>
      </w:r>
      <w:r w:rsidR="006B1488">
        <w:rPr>
          <w:sz w:val="28"/>
          <w:szCs w:val="28"/>
          <w:lang w:val="uk-UA"/>
        </w:rPr>
        <w:t xml:space="preserve">основі </w:t>
      </w:r>
      <w:r w:rsidR="00021BB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="00021BBB">
        <w:rPr>
          <w:sz w:val="28"/>
          <w:szCs w:val="28"/>
          <w:lang w:val="uk-UA"/>
        </w:rPr>
        <w:t xml:space="preserve">, засновником </w:t>
      </w:r>
      <w:r>
        <w:rPr>
          <w:sz w:val="28"/>
          <w:szCs w:val="28"/>
          <w:lang w:val="uk-UA"/>
        </w:rPr>
        <w:t>якого</w:t>
      </w:r>
      <w:r w:rsidR="00021BBB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Гадяцька</w:t>
      </w:r>
      <w:r w:rsidR="00021BBB">
        <w:rPr>
          <w:sz w:val="28"/>
          <w:szCs w:val="28"/>
          <w:lang w:val="uk-UA"/>
        </w:rPr>
        <w:t xml:space="preserve"> міська рада. Фінансова підтримка надається в межах бюджетних призначень, встановлених рішенням міської ради про </w:t>
      </w:r>
      <w:r w:rsidR="00311F8B">
        <w:rPr>
          <w:sz w:val="28"/>
          <w:szCs w:val="28"/>
          <w:lang w:val="uk-UA"/>
        </w:rPr>
        <w:t>бюджет Гадяцької міської ОТГ</w:t>
      </w:r>
      <w:r w:rsidR="00021BBB">
        <w:rPr>
          <w:sz w:val="28"/>
          <w:szCs w:val="28"/>
          <w:lang w:val="uk-UA"/>
        </w:rPr>
        <w:t xml:space="preserve"> на відповідний рік за цією Програмою, та в межах надходжень до міського бюджету.  </w:t>
      </w:r>
    </w:p>
    <w:p w:rsidR="00021BBB" w:rsidRPr="00212DEE" w:rsidRDefault="0081722F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6.2.Фінансова підтримка може виділятися на покриття (відшкодування) поточних витрат комунальн</w:t>
      </w:r>
      <w:r>
        <w:rPr>
          <w:sz w:val="28"/>
          <w:szCs w:val="28"/>
          <w:lang w:val="uk-UA"/>
        </w:rPr>
        <w:t>ого</w:t>
      </w:r>
      <w:r w:rsidR="00021BB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="00021BBB">
        <w:rPr>
          <w:sz w:val="28"/>
          <w:szCs w:val="28"/>
          <w:lang w:val="uk-UA"/>
        </w:rPr>
        <w:t>, які виникають в процесі господарської діяльності, напрямок якої відповідає меті і завданням цієї Програми, у разі якщо такі витрати не покриваються доходами підприємства.</w:t>
      </w:r>
    </w:p>
    <w:p w:rsidR="00021BBB" w:rsidRDefault="0081722F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6.3. Не підлягають забезпечен</w:t>
      </w:r>
      <w:r w:rsidR="00311F8B">
        <w:rPr>
          <w:sz w:val="28"/>
          <w:szCs w:val="28"/>
          <w:lang w:val="uk-UA"/>
        </w:rPr>
        <w:t xml:space="preserve">ню за рахунок коштів </w:t>
      </w:r>
      <w:r w:rsidR="00021BBB">
        <w:rPr>
          <w:sz w:val="28"/>
          <w:szCs w:val="28"/>
          <w:lang w:val="uk-UA"/>
        </w:rPr>
        <w:t xml:space="preserve"> бюджету </w:t>
      </w:r>
      <w:r w:rsidR="00311F8B">
        <w:rPr>
          <w:sz w:val="28"/>
          <w:szCs w:val="28"/>
          <w:lang w:val="uk-UA"/>
        </w:rPr>
        <w:t xml:space="preserve">міської ОТГ </w:t>
      </w:r>
      <w:r w:rsidR="00021BBB">
        <w:rPr>
          <w:sz w:val="28"/>
          <w:szCs w:val="28"/>
          <w:lang w:val="uk-UA"/>
        </w:rPr>
        <w:t>витрати комунальн</w:t>
      </w:r>
      <w:r w:rsidR="0059187E">
        <w:rPr>
          <w:sz w:val="28"/>
          <w:szCs w:val="28"/>
          <w:lang w:val="uk-UA"/>
        </w:rPr>
        <w:t>ого</w:t>
      </w:r>
      <w:r w:rsidR="00021BBB">
        <w:rPr>
          <w:sz w:val="28"/>
          <w:szCs w:val="28"/>
          <w:lang w:val="uk-UA"/>
        </w:rPr>
        <w:t xml:space="preserve"> підприємств</w:t>
      </w:r>
      <w:r w:rsidR="0059187E">
        <w:rPr>
          <w:sz w:val="28"/>
          <w:szCs w:val="28"/>
          <w:lang w:val="uk-UA"/>
        </w:rPr>
        <w:t>а</w:t>
      </w:r>
      <w:r w:rsidR="00021BBB">
        <w:rPr>
          <w:sz w:val="28"/>
          <w:szCs w:val="28"/>
          <w:lang w:val="uk-UA"/>
        </w:rPr>
        <w:t xml:space="preserve">: 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на премії та інші стимулюючі виплати, передбачені колективними договорами;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на відрахування профспілковим організаціям для проведення ку</w:t>
      </w:r>
      <w:r w:rsidR="00F30037">
        <w:rPr>
          <w:sz w:val="28"/>
          <w:szCs w:val="28"/>
          <w:lang w:val="uk-UA"/>
        </w:rPr>
        <w:t xml:space="preserve">льтурно-масової </w:t>
      </w:r>
      <w:r w:rsidR="00021BBB">
        <w:rPr>
          <w:sz w:val="28"/>
          <w:szCs w:val="28"/>
          <w:lang w:val="uk-UA"/>
        </w:rPr>
        <w:t xml:space="preserve">роботи; 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 xml:space="preserve">- на надання спонсорської і благодійної допомоги; </w:t>
      </w:r>
    </w:p>
    <w:p w:rsidR="00021BBB" w:rsidRPr="00D01B45" w:rsidRDefault="001D6CA0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на інші непродуктивні витрати, які безпосередньо не пов’язані із основним напрямком діяльності підприємства, як</w:t>
      </w:r>
      <w:r w:rsidR="00F30037">
        <w:rPr>
          <w:sz w:val="28"/>
          <w:szCs w:val="28"/>
          <w:lang w:val="uk-UA"/>
        </w:rPr>
        <w:t>і</w:t>
      </w:r>
      <w:r w:rsidR="00021BBB">
        <w:rPr>
          <w:sz w:val="28"/>
          <w:szCs w:val="28"/>
          <w:lang w:val="uk-UA"/>
        </w:rPr>
        <w:t xml:space="preserve"> передбачен</w:t>
      </w:r>
      <w:r w:rsidR="00F30037">
        <w:rPr>
          <w:sz w:val="28"/>
          <w:szCs w:val="28"/>
          <w:lang w:val="uk-UA"/>
        </w:rPr>
        <w:t>і</w:t>
      </w:r>
      <w:r w:rsidR="00021BBB">
        <w:rPr>
          <w:sz w:val="28"/>
          <w:szCs w:val="28"/>
          <w:lang w:val="uk-UA"/>
        </w:rPr>
        <w:t xml:space="preserve"> Статутом підприємства та відповідає меті і завданням Програми.</w:t>
      </w:r>
    </w:p>
    <w:p w:rsidR="00021BBB" w:rsidRDefault="0081722F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lastRenderedPageBreak/>
        <w:t xml:space="preserve">   </w:t>
      </w:r>
      <w:r w:rsidR="00021BBB">
        <w:rPr>
          <w:sz w:val="28"/>
          <w:szCs w:val="28"/>
          <w:lang w:val="uk-UA"/>
        </w:rPr>
        <w:t>6.4. Критеріями визначення одержувача для надання фінансової підтримки є наявність:</w:t>
      </w:r>
    </w:p>
    <w:p w:rsidR="00021BBB" w:rsidRPr="00D01B45" w:rsidRDefault="001D6CA0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звернення, подане отримувачем фінансової підтримки, погоджене відповідним відділом міської ради та заступником міського голови відповідно до розподілу їх функціональних обов’язків.</w:t>
      </w:r>
    </w:p>
    <w:p w:rsidR="00021BBB" w:rsidRDefault="00021BBB" w:rsidP="00021BBB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:rsidR="00021BBB" w:rsidRDefault="00021BBB" w:rsidP="00B523DE">
      <w:pPr>
        <w:pStyle w:val="21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 від реалізації  Програми</w:t>
      </w:r>
    </w:p>
    <w:p w:rsidR="001D6CA0" w:rsidRPr="001D6CA0" w:rsidRDefault="001D6CA0" w:rsidP="005D59D1">
      <w:pPr>
        <w:pStyle w:val="21"/>
        <w:spacing w:after="0" w:line="240" w:lineRule="auto"/>
        <w:ind w:left="720"/>
      </w:pPr>
    </w:p>
    <w:p w:rsidR="00021BBB" w:rsidRPr="001D6CA0" w:rsidRDefault="00021BBB" w:rsidP="001D6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дозволить: </w:t>
      </w:r>
    </w:p>
    <w:p w:rsidR="0081722F" w:rsidRPr="001D6CA0" w:rsidRDefault="00021BBB" w:rsidP="001D6CA0">
      <w:pPr>
        <w:tabs>
          <w:tab w:val="left" w:pos="840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стабільної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беззбиткової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81722F" w:rsidRPr="001D6C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D6CA0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1BBB" w:rsidRPr="00F30037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CA0">
        <w:rPr>
          <w:rFonts w:ascii="Times New Roman" w:hAnsi="Times New Roman" w:cs="Times New Roman"/>
          <w:sz w:val="28"/>
          <w:szCs w:val="28"/>
          <w:lang w:val="uk-UA"/>
        </w:rPr>
        <w:t>- підвищити якісні і кількісні показники наданих підприємств</w:t>
      </w:r>
      <w:r w:rsidR="0059187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6B1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6CA0">
        <w:rPr>
          <w:rFonts w:ascii="Times New Roman" w:hAnsi="Times New Roman" w:cs="Times New Roman"/>
          <w:sz w:val="28"/>
          <w:szCs w:val="28"/>
          <w:lang w:val="uk-UA"/>
        </w:rPr>
        <w:t xml:space="preserve"> послуг з </w:t>
      </w:r>
      <w:proofErr w:type="spellStart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>централізованого</w:t>
      </w:r>
      <w:proofErr w:type="spellEnd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>опалення</w:t>
      </w:r>
      <w:proofErr w:type="spellEnd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 xml:space="preserve"> та </w:t>
      </w:r>
      <w:proofErr w:type="spellStart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>постачання</w:t>
      </w:r>
      <w:proofErr w:type="spellEnd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>гарячої</w:t>
      </w:r>
      <w:proofErr w:type="spellEnd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 xml:space="preserve"> води</w:t>
      </w:r>
      <w:r w:rsidR="0081722F" w:rsidRPr="00F3003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1BBB" w:rsidRPr="001D6CA0" w:rsidRDefault="00021BBB" w:rsidP="001D6CA0">
      <w:pPr>
        <w:pStyle w:val="a5"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>- підвищити комфортність умов проживання населення та запо</w:t>
      </w:r>
      <w:r w:rsidR="0081722F" w:rsidRPr="001D6CA0">
        <w:rPr>
          <w:sz w:val="28"/>
          <w:szCs w:val="28"/>
        </w:rPr>
        <w:t>бігти погіршенню життя громадян;</w:t>
      </w:r>
    </w:p>
    <w:p w:rsidR="00021BBB" w:rsidRPr="001D6CA0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своєчасну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виплату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плати та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нарахувань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>;</w:t>
      </w:r>
    </w:p>
    <w:p w:rsidR="00021BBB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своєчасність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енергоносії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>.</w:t>
      </w:r>
    </w:p>
    <w:p w:rsidR="00B523DE" w:rsidRDefault="00B523DE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BBB" w:rsidRDefault="00B523DE" w:rsidP="006B34E0">
      <w:pPr>
        <w:pStyle w:val="a3"/>
        <w:numPr>
          <w:ilvl w:val="0"/>
          <w:numId w:val="10"/>
        </w:numPr>
        <w:tabs>
          <w:tab w:val="left" w:pos="851"/>
          <w:tab w:val="left" w:pos="90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3DE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виконанням Програми</w:t>
      </w:r>
    </w:p>
    <w:p w:rsidR="006B34E0" w:rsidRPr="006B34E0" w:rsidRDefault="006B34E0" w:rsidP="006B34E0">
      <w:pPr>
        <w:pStyle w:val="a3"/>
        <w:tabs>
          <w:tab w:val="left" w:pos="851"/>
          <w:tab w:val="left" w:pos="900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23DE" w:rsidRPr="006B34E0" w:rsidRDefault="00B523DE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Координацію та контроль за виконанням Програми здійснює відділ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Гадяцької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ради</w:t>
      </w:r>
      <w:r w:rsidR="00D745D3" w:rsidRPr="006B34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45D3" w:rsidRPr="006B34E0" w:rsidRDefault="00D745D3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Відповідальні виконавці Програми (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</w:t>
      </w:r>
      <w:bookmarkStart w:id="2" w:name="_GoBack"/>
      <w:bookmarkEnd w:id="2"/>
      <w:r w:rsidR="00A45B07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омунальн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е</w:t>
      </w:r>
      <w:r w:rsidR="00A45B07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підприємств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</w:t>
      </w:r>
      <w:r w:rsidR="00A45B07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теплового господарств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а «</w:t>
      </w:r>
      <w:proofErr w:type="spellStart"/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</w:t>
      </w:r>
      <w:r w:rsidR="006B148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6B34E0">
        <w:rPr>
          <w:rFonts w:ascii="Times New Roman" w:hAnsi="Times New Roman" w:cs="Times New Roman"/>
          <w:sz w:val="28"/>
          <w:szCs w:val="28"/>
          <w:lang w:val="uk-UA"/>
        </w:rPr>
        <w:t>один раз на квартал, до 15 числа місяця, наступного за звітним періодом, надають до відділу містобудування, архітектури, житлово-комунального господарства та будівництва  Гадяцької міської ради звіти про хід виконання Програми відповідно до фактичних обсягів фінансування (наростаючим підсумком).</w:t>
      </w:r>
    </w:p>
    <w:p w:rsidR="00D745D3" w:rsidRPr="006B34E0" w:rsidRDefault="00D745D3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У випадку необхідності корегування даної Програми відповідні зміни до неї вносяться рішенням сесії міської ради.</w:t>
      </w:r>
    </w:p>
    <w:p w:rsidR="00D745D3" w:rsidRPr="00D745D3" w:rsidRDefault="00D745D3" w:rsidP="00B523DE">
      <w:pPr>
        <w:tabs>
          <w:tab w:val="left" w:pos="540"/>
          <w:tab w:val="left" w:pos="851"/>
          <w:tab w:val="left" w:pos="900"/>
          <w:tab w:val="left" w:pos="1276"/>
        </w:tabs>
        <w:spacing w:line="240" w:lineRule="auto"/>
        <w:jc w:val="both"/>
        <w:rPr>
          <w:sz w:val="28"/>
          <w:szCs w:val="28"/>
          <w:lang w:val="uk-UA"/>
        </w:rPr>
      </w:pPr>
    </w:p>
    <w:p w:rsidR="00D2604C" w:rsidRPr="00B523DE" w:rsidRDefault="00D2604C" w:rsidP="00AE7633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A15540" w:rsidRDefault="00A15540" w:rsidP="00A15540">
      <w:pPr>
        <w:pStyle w:val="a5"/>
        <w:tabs>
          <w:tab w:val="left" w:pos="6384"/>
        </w:tabs>
        <w:spacing w:line="240" w:lineRule="auto"/>
        <w:jc w:val="both"/>
      </w:pPr>
      <w:r>
        <w:rPr>
          <w:b/>
          <w:sz w:val="28"/>
          <w:szCs w:val="28"/>
        </w:rPr>
        <w:t xml:space="preserve">Секретар міської  ради                                              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Г.В.Сафонов</w:t>
      </w:r>
      <w:proofErr w:type="spellEnd"/>
    </w:p>
    <w:p w:rsidR="00A15540" w:rsidRDefault="00A15540" w:rsidP="00A15540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:rsidR="005B752A" w:rsidRPr="00A15540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Pr="00667CF9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sectPr w:rsidR="005B752A" w:rsidRPr="00667CF9" w:rsidSect="00F1558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CD6"/>
    <w:multiLevelType w:val="hybridMultilevel"/>
    <w:tmpl w:val="2A883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F045E"/>
    <w:multiLevelType w:val="multilevel"/>
    <w:tmpl w:val="78BAF4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EE51196"/>
    <w:multiLevelType w:val="multilevel"/>
    <w:tmpl w:val="B1B037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6E676A"/>
    <w:multiLevelType w:val="multilevel"/>
    <w:tmpl w:val="21BC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943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4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480" w:hanging="2160"/>
      </w:pPr>
      <w:rPr>
        <w:rFonts w:hint="default"/>
        <w:color w:val="000000"/>
      </w:rPr>
    </w:lvl>
  </w:abstractNum>
  <w:abstractNum w:abstractNumId="4" w15:restartNumberingAfterBreak="0">
    <w:nsid w:val="4DA45740"/>
    <w:multiLevelType w:val="hybridMultilevel"/>
    <w:tmpl w:val="C4FECF36"/>
    <w:lvl w:ilvl="0" w:tplc="C18EECD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E2E7F9B"/>
    <w:multiLevelType w:val="multilevel"/>
    <w:tmpl w:val="71D8F0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332B6B"/>
    <w:multiLevelType w:val="multilevel"/>
    <w:tmpl w:val="D2BAE4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5746EF"/>
    <w:multiLevelType w:val="multilevel"/>
    <w:tmpl w:val="18FE1D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091306"/>
    <w:multiLevelType w:val="hybridMultilevel"/>
    <w:tmpl w:val="4D7637F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7331C"/>
    <w:multiLevelType w:val="multilevel"/>
    <w:tmpl w:val="03423B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61"/>
    <w:rsid w:val="00021BBB"/>
    <w:rsid w:val="001171A1"/>
    <w:rsid w:val="0012784C"/>
    <w:rsid w:val="001369C5"/>
    <w:rsid w:val="00183C5C"/>
    <w:rsid w:val="001A6302"/>
    <w:rsid w:val="001C7CCD"/>
    <w:rsid w:val="001D6CA0"/>
    <w:rsid w:val="001E1D58"/>
    <w:rsid w:val="002179CB"/>
    <w:rsid w:val="00286AE5"/>
    <w:rsid w:val="002B0A41"/>
    <w:rsid w:val="00311F8B"/>
    <w:rsid w:val="0033702B"/>
    <w:rsid w:val="00340C3D"/>
    <w:rsid w:val="00363A50"/>
    <w:rsid w:val="00370205"/>
    <w:rsid w:val="003B7F40"/>
    <w:rsid w:val="003F5FD4"/>
    <w:rsid w:val="004140B6"/>
    <w:rsid w:val="00421B74"/>
    <w:rsid w:val="0047339B"/>
    <w:rsid w:val="004D517F"/>
    <w:rsid w:val="00503780"/>
    <w:rsid w:val="00561B3E"/>
    <w:rsid w:val="0059187E"/>
    <w:rsid w:val="005926BA"/>
    <w:rsid w:val="005B752A"/>
    <w:rsid w:val="005C321C"/>
    <w:rsid w:val="005C4A6D"/>
    <w:rsid w:val="005D59D1"/>
    <w:rsid w:val="005F0A97"/>
    <w:rsid w:val="0063329D"/>
    <w:rsid w:val="006628FF"/>
    <w:rsid w:val="006B1488"/>
    <w:rsid w:val="006B34E0"/>
    <w:rsid w:val="006C5C8A"/>
    <w:rsid w:val="006F2819"/>
    <w:rsid w:val="00702FB4"/>
    <w:rsid w:val="00744D7E"/>
    <w:rsid w:val="00755B5E"/>
    <w:rsid w:val="007816C5"/>
    <w:rsid w:val="0081722F"/>
    <w:rsid w:val="00862D7B"/>
    <w:rsid w:val="008679C2"/>
    <w:rsid w:val="00931825"/>
    <w:rsid w:val="009B6C87"/>
    <w:rsid w:val="009F7AF6"/>
    <w:rsid w:val="00A15540"/>
    <w:rsid w:val="00A26EFF"/>
    <w:rsid w:val="00A325C0"/>
    <w:rsid w:val="00A45B07"/>
    <w:rsid w:val="00A9559F"/>
    <w:rsid w:val="00AA06C6"/>
    <w:rsid w:val="00AD0A3E"/>
    <w:rsid w:val="00AD703C"/>
    <w:rsid w:val="00AE7633"/>
    <w:rsid w:val="00B01365"/>
    <w:rsid w:val="00B11451"/>
    <w:rsid w:val="00B20032"/>
    <w:rsid w:val="00B455EB"/>
    <w:rsid w:val="00B523DE"/>
    <w:rsid w:val="00B9034D"/>
    <w:rsid w:val="00BB2490"/>
    <w:rsid w:val="00BC5FB3"/>
    <w:rsid w:val="00C453CC"/>
    <w:rsid w:val="00C52D1D"/>
    <w:rsid w:val="00C62861"/>
    <w:rsid w:val="00CA757D"/>
    <w:rsid w:val="00D01B45"/>
    <w:rsid w:val="00D174EE"/>
    <w:rsid w:val="00D2604C"/>
    <w:rsid w:val="00D4560F"/>
    <w:rsid w:val="00D745D3"/>
    <w:rsid w:val="00D7474B"/>
    <w:rsid w:val="00D909BD"/>
    <w:rsid w:val="00D97ACD"/>
    <w:rsid w:val="00DD0747"/>
    <w:rsid w:val="00E4536C"/>
    <w:rsid w:val="00E50D46"/>
    <w:rsid w:val="00E52CF8"/>
    <w:rsid w:val="00E812C4"/>
    <w:rsid w:val="00E81C2F"/>
    <w:rsid w:val="00E90B19"/>
    <w:rsid w:val="00EC3553"/>
    <w:rsid w:val="00EE15D8"/>
    <w:rsid w:val="00EE28C5"/>
    <w:rsid w:val="00F149E6"/>
    <w:rsid w:val="00F15584"/>
    <w:rsid w:val="00F24201"/>
    <w:rsid w:val="00F30037"/>
    <w:rsid w:val="00F548A8"/>
    <w:rsid w:val="00F91630"/>
    <w:rsid w:val="00FD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4475"/>
  <w15:chartTrackingRefBased/>
  <w15:docId w15:val="{F84C5FA3-A959-4E4F-9CBA-ADB664D4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84"/>
    <w:pPr>
      <w:ind w:left="720"/>
      <w:contextualSpacing/>
    </w:pPr>
  </w:style>
  <w:style w:type="paragraph" w:customStyle="1" w:styleId="2">
    <w:name w:val="Основной текст (2)"/>
    <w:basedOn w:val="a"/>
    <w:rsid w:val="00D7474B"/>
    <w:pPr>
      <w:shd w:val="clear" w:color="auto" w:fill="FFFFFF"/>
      <w:suppressAutoHyphens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Основной текст + Полужирный"/>
    <w:rsid w:val="005F0A97"/>
    <w:rPr>
      <w:b/>
      <w:bCs/>
      <w:sz w:val="23"/>
      <w:szCs w:val="23"/>
      <w:lang w:bidi="ar-SA"/>
    </w:rPr>
  </w:style>
  <w:style w:type="paragraph" w:styleId="a5">
    <w:name w:val="Body Text"/>
    <w:basedOn w:val="a"/>
    <w:link w:val="a6"/>
    <w:rsid w:val="005F0A97"/>
    <w:pPr>
      <w:widowControl w:val="0"/>
      <w:tabs>
        <w:tab w:val="left" w:pos="840"/>
      </w:tabs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sz w:val="24"/>
      <w:lang w:val="uk-UA" w:eastAsia="zh-CN"/>
    </w:rPr>
  </w:style>
  <w:style w:type="character" w:customStyle="1" w:styleId="a6">
    <w:name w:val="Основной текст Знак"/>
    <w:basedOn w:val="a0"/>
    <w:link w:val="a5"/>
    <w:rsid w:val="005F0A97"/>
    <w:rPr>
      <w:rFonts w:ascii="Times New Roman" w:eastAsia="Times New Roman" w:hAnsi="Times New Roman" w:cs="Times New Roman"/>
      <w:sz w:val="24"/>
      <w:lang w:val="uk-UA" w:eastAsia="zh-CN"/>
    </w:rPr>
  </w:style>
  <w:style w:type="character" w:customStyle="1" w:styleId="9pt">
    <w:name w:val="Основной текст + 9 pt"/>
    <w:rsid w:val="00D909BD"/>
    <w:rPr>
      <w:b/>
      <w:bCs/>
      <w:smallCaps/>
      <w:sz w:val="18"/>
      <w:szCs w:val="18"/>
      <w:lang w:bidi="ar-SA"/>
    </w:rPr>
  </w:style>
  <w:style w:type="paragraph" w:customStyle="1" w:styleId="21">
    <w:name w:val="Основной текст 21"/>
    <w:basedOn w:val="a"/>
    <w:rsid w:val="00D909B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Заголовок №1"/>
    <w:basedOn w:val="a"/>
    <w:rsid w:val="00D909BD"/>
    <w:pPr>
      <w:shd w:val="clear" w:color="auto" w:fill="FFFFFF"/>
      <w:suppressAutoHyphens/>
      <w:spacing w:after="0" w:line="274" w:lineRule="exact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customStyle="1" w:styleId="41">
    <w:name w:val="Основной текст (4)1"/>
    <w:basedOn w:val="a"/>
    <w:rsid w:val="00D909BD"/>
    <w:pPr>
      <w:shd w:val="clear" w:color="auto" w:fill="FFFFFF"/>
      <w:suppressAutoHyphens/>
      <w:spacing w:after="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0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B5FA-915E-45C0-997B-06BD307E1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cp:lastPrinted>2019-12-13T12:07:00Z</cp:lastPrinted>
  <dcterms:created xsi:type="dcterms:W3CDTF">2019-12-12T13:53:00Z</dcterms:created>
  <dcterms:modified xsi:type="dcterms:W3CDTF">2020-08-18T05:11:00Z</dcterms:modified>
</cp:coreProperties>
</file>