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5ED" w:rsidRPr="00F129C9" w:rsidRDefault="00BD15ED" w:rsidP="00BD15ED">
      <w:pPr>
        <w:spacing w:after="0" w:line="240" w:lineRule="auto"/>
        <w:ind w:left="-840"/>
        <w:jc w:val="center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BD15ED" w:rsidRDefault="00BD15ED" w:rsidP="00BD15ED">
      <w:pPr>
        <w:spacing w:after="0" w:line="240" w:lineRule="auto"/>
        <w:ind w:left="-8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D15ED" w:rsidRPr="00C31794" w:rsidRDefault="00C31794" w:rsidP="009407E8">
      <w:pPr>
        <w:spacing w:after="0" w:line="240" w:lineRule="auto"/>
        <w:ind w:left="-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 w:rsidR="00BD15ED">
        <w:rPr>
          <w:rFonts w:ascii="Academy" w:hAnsi="Academy"/>
          <w:noProof/>
          <w:lang w:val="ru-RU" w:eastAsia="ru-RU"/>
        </w:rPr>
        <w:drawing>
          <wp:inline distT="0" distB="0" distL="0" distR="0" wp14:anchorId="5CDB385B" wp14:editId="610DCFCD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</w:t>
      </w:r>
    </w:p>
    <w:p w:rsidR="00BD15ED" w:rsidRPr="00D940EF" w:rsidRDefault="00BD15ED" w:rsidP="00BD15ED">
      <w:pPr>
        <w:spacing w:after="0" w:line="240" w:lineRule="auto"/>
        <w:ind w:left="-840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D15ED" w:rsidRPr="00DF2654" w:rsidRDefault="00BD15ED" w:rsidP="00BD15ED">
      <w:pPr>
        <w:pStyle w:val="1"/>
        <w:ind w:left="-142" w:right="-129"/>
        <w:jc w:val="center"/>
        <w:rPr>
          <w:b/>
          <w:i w:val="0"/>
          <w:szCs w:val="28"/>
        </w:rPr>
      </w:pPr>
      <w:r w:rsidRPr="00DF2654">
        <w:rPr>
          <w:b/>
          <w:i w:val="0"/>
          <w:szCs w:val="28"/>
        </w:rPr>
        <w:t>ГАДЯЦЬКА МІСЬКА РАДА</w:t>
      </w:r>
    </w:p>
    <w:p w:rsidR="00BD15ED" w:rsidRDefault="00BD15ED" w:rsidP="00BD15ED">
      <w:pPr>
        <w:spacing w:after="0" w:line="240" w:lineRule="auto"/>
        <w:ind w:left="-142" w:right="-1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ПОЛТАВСЬКОЇ  ОБЛАСТІ</w:t>
      </w:r>
    </w:p>
    <w:p w:rsidR="00BD15ED" w:rsidRDefault="002A7E43" w:rsidP="003031FE">
      <w:pPr>
        <w:spacing w:after="0" w:line="240" w:lineRule="auto"/>
        <w:ind w:left="-142" w:right="-12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СЬОМА </w:t>
      </w:r>
      <w:r w:rsidR="00BD15ED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7F46E4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BD15ED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3031FE" w:rsidRDefault="003031FE" w:rsidP="003031FE">
      <w:pPr>
        <w:spacing w:after="0" w:line="240" w:lineRule="auto"/>
        <w:ind w:left="-142" w:right="-12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5ED" w:rsidRPr="00DF2654" w:rsidRDefault="00BD15ED" w:rsidP="00BD15ED">
      <w:pPr>
        <w:ind w:left="-142" w:right="-1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654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161D31" w:rsidRPr="00383B0A" w:rsidRDefault="00924208" w:rsidP="00BD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4C75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березня</w:t>
      </w:r>
      <w:r w:rsidR="008304C3" w:rsidRPr="00383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 w:rsidR="007F46E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D15ED" w:rsidRPr="00383B0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року   </w:t>
      </w:r>
      <w:r w:rsidR="00356B6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</w:t>
      </w:r>
      <w:r w:rsidR="009407E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№ 309</w:t>
      </w:r>
    </w:p>
    <w:p w:rsidR="00BD15ED" w:rsidRPr="00383B0A" w:rsidRDefault="00BD15ED" w:rsidP="00BD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83B0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83B0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83B0A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401"/>
      </w:tblGrid>
      <w:tr w:rsidR="00BD15ED" w:rsidRPr="00D00629" w:rsidTr="00C811BB">
        <w:trPr>
          <w:trHeight w:val="2043"/>
        </w:trPr>
        <w:tc>
          <w:tcPr>
            <w:tcW w:w="4401" w:type="dxa"/>
          </w:tcPr>
          <w:p w:rsidR="00D00629" w:rsidRPr="00D00629" w:rsidRDefault="00D00629" w:rsidP="00C81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Про   затвердження   розміру </w:t>
            </w:r>
          </w:p>
          <w:p w:rsidR="00D00629" w:rsidRPr="00D00629" w:rsidRDefault="00D00629" w:rsidP="00C81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кошторисної заробітної плати,</w:t>
            </w:r>
          </w:p>
          <w:p w:rsidR="00D00629" w:rsidRPr="00D00629" w:rsidRDefault="00D00629" w:rsidP="00C81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як</w:t>
            </w:r>
            <w:r w:rsidR="00E9529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ий</w:t>
            </w: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 враховується при визначенні</w:t>
            </w:r>
          </w:p>
          <w:p w:rsidR="00BD15ED" w:rsidRPr="00D00629" w:rsidRDefault="00D00629" w:rsidP="00C81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вартості будівництва </w:t>
            </w:r>
            <w:r w:rsidR="009B3595"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об’єктів</w:t>
            </w: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на 202</w:t>
            </w:r>
            <w:r w:rsidR="007F46E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1</w:t>
            </w:r>
            <w:r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рік</w:t>
            </w:r>
            <w:r w:rsidR="009B3595" w:rsidRPr="00D0062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, що здійснюється за рахунок бюджетних коштів</w:t>
            </w:r>
          </w:p>
          <w:p w:rsidR="00D00629" w:rsidRPr="00D00629" w:rsidRDefault="00D00629" w:rsidP="00C811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AB1FD0" w:rsidRPr="008C11A9" w:rsidRDefault="00C811BB" w:rsidP="00BD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BD15ED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8757F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ст.ст.25,26,59 Закону України «Про місцеве самоврядування в Україні» та з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метою вирішення питання визначення розміру кошторисної заробітної плати на 20</w:t>
      </w:r>
      <w:r w:rsidR="008304C3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71B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рік, який враховується при визначенні вартості будівництва (нового будівництва, реконструкції, капітального ремонту, технічного переоснащення) об’єктів, що споруджуються </w:t>
      </w:r>
      <w:r w:rsidR="00DD1A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рахунок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бюджетних коштів, коштів підприємств, установ, організацій, що належ</w:t>
      </w:r>
      <w:r w:rsidR="00DD1A2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ать до комунальної власності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8C11A9" w:rsidRPr="00CE32D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постанови Кабінету Міністрів України від 29.07.2020 № 671 «Про схвалення Прогнозу економічного і соціального розвитку України на 2021-2023</w:t>
      </w:r>
      <w:r w:rsidR="008C11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роки» та</w:t>
      </w:r>
      <w:r w:rsidR="008C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2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3028E"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ідповідно до наказу </w:t>
      </w:r>
      <w:proofErr w:type="spellStart"/>
      <w:r w:rsidR="0073028E"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Мінрегіону</w:t>
      </w:r>
      <w:proofErr w:type="spellEnd"/>
      <w:r w:rsidR="0073028E"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</w:t>
      </w:r>
      <w:r w:rsidR="0073028E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.10.2016</w:t>
      </w:r>
      <w:r w:rsidR="0073028E"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№ 281 «Про затвердження Порядку розрахунку розміру кошторисної заробітної плати, який враховується при визначенні вартості будівництва об’єктів» </w:t>
      </w:r>
      <w:r w:rsidR="0073028E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зареєстрованого у </w:t>
      </w:r>
      <w:r w:rsidR="007302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73028E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Міністерстві юстиції України </w:t>
      </w:r>
      <w:r w:rsidR="007302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11.11.2016</w:t>
      </w:r>
      <w:r w:rsidR="0073028E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№ </w:t>
      </w:r>
      <w:r w:rsidR="007302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1469/29599</w:t>
      </w:r>
      <w:r w:rsidR="0073028E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</w:p>
    <w:p w:rsidR="00715869" w:rsidRDefault="00715869" w:rsidP="00D0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629" w:rsidRDefault="00AB1FD0" w:rsidP="00D0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міська рада вирішила</w:t>
      </w:r>
      <w:r w:rsidR="00BD15ED" w:rsidRPr="00D00629">
        <w:rPr>
          <w:rFonts w:ascii="Times New Roman" w:hAnsi="Times New Roman" w:cs="Times New Roman"/>
          <w:sz w:val="28"/>
          <w:szCs w:val="28"/>
        </w:rPr>
        <w:t>:</w:t>
      </w:r>
    </w:p>
    <w:p w:rsidR="0073028E" w:rsidRDefault="0073028E" w:rsidP="00D0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64A" w:rsidRPr="00D00629" w:rsidRDefault="00383B0A" w:rsidP="00D00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E03426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8757F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розмір кошторисної заробітної плати, який враховується при визначенні вартості будівництва (нового будівництва, реконструкції, капітального ремонту, технічного переоснащення) об’єктів, що споруджуються </w:t>
      </w:r>
      <w:r w:rsidR="001F4E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рахунок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бюджетних коштів, коштів підприємств, установ, організацій, що належать до комунальної власності </w:t>
      </w: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Гадяцької міської </w:t>
      </w:r>
      <w:r w:rsidR="001F4E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територіальної громади 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розмірі </w:t>
      </w:r>
      <w:r w:rsidR="007302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10628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грн.</w:t>
      </w:r>
      <w:r w:rsidR="0038757F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20</w:t>
      </w: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73028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38757F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</w:t>
      </w:r>
      <w:r w:rsidR="001F4E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(розрахунок додається)</w:t>
      </w:r>
      <w:r w:rsidR="0038757F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764A" w:rsidRDefault="00383B0A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E03426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Дане рішення може бути переглянуто у зв’язку зі збільшенням розміру мінімальної заробітної плати у галузі будівництва та внесення змін до законодавчих актів.</w:t>
      </w:r>
    </w:p>
    <w:p w:rsidR="0073028E" w:rsidRPr="00254B1F" w:rsidRDefault="0073028E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3. Вважати таким, що втратило чинність рішення </w:t>
      </w:r>
      <w:r w:rsidR="00E2363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п’ятдесят восьмої сесії Гадяцької  міської ради сьомого скликання </w:t>
      </w:r>
      <w:r w:rsidR="00254B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12.03.2020 «Про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   затвердження   розміру кошторисної </w:t>
      </w:r>
      <w:r w:rsidR="00E236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заробітної </w:t>
      </w:r>
      <w:r w:rsidR="00E236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плати,</w:t>
      </w:r>
      <w:r w:rsidR="00254B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який враховується при визначенні</w:t>
      </w:r>
      <w:r w:rsidR="00254B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вартості будівництва об’єктів на 202</w:t>
      </w:r>
      <w:r w:rsidR="004B4F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0</w:t>
      </w:r>
      <w:r w:rsidR="00254B1F" w:rsidRPr="00D0062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рік, що здійснюється за рахунок бюджетних коштів</w:t>
      </w:r>
      <w:r w:rsidR="00254B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».</w:t>
      </w:r>
    </w:p>
    <w:p w:rsidR="00356B62" w:rsidRDefault="00383B0A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</w:t>
      </w:r>
    </w:p>
    <w:p w:rsidR="00356B62" w:rsidRDefault="00356B62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56B62" w:rsidRDefault="00356B62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56B62" w:rsidRDefault="00356B62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5853" w:rsidRPr="00D00629" w:rsidRDefault="00356B62" w:rsidP="00D006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383B0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54B1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E03426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заступника міського голови </w:t>
      </w:r>
      <w:r w:rsidR="00161D31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300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питань діяльності виконавчих органів міської ради Ракочія В.М</w:t>
      </w:r>
      <w:r w:rsidR="00161D31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00764A"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r w:rsidR="00C65853" w:rsidRPr="00D006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постійну комісію міської ради  </w:t>
      </w:r>
      <w:r w:rsidR="00C65853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бюджету, фінансів  та цін, соціально-економічного розвитку, підприємництва</w:t>
      </w:r>
      <w:r w:rsidR="00161D31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61D31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Боцула</w:t>
      </w:r>
      <w:proofErr w:type="spellEnd"/>
      <w:r w:rsidR="00161D31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0FB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О.А.)</w:t>
      </w:r>
      <w:r w:rsidR="00C65853" w:rsidRPr="00D00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6B62" w:rsidRDefault="00356B62" w:rsidP="003031F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31FE" w:rsidRPr="00D00629" w:rsidRDefault="003031FE" w:rsidP="003031FE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0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Міський голова                                                                              В.О.  Нестеренко </w:t>
      </w:r>
    </w:p>
    <w:tbl>
      <w:tblPr>
        <w:tblW w:w="9923" w:type="dxa"/>
        <w:tblLook w:val="04A0" w:firstRow="1" w:lastRow="0" w:firstColumn="1" w:lastColumn="0" w:noHBand="0" w:noVBand="1"/>
      </w:tblPr>
      <w:tblGrid>
        <w:gridCol w:w="9923"/>
      </w:tblGrid>
      <w:tr w:rsidR="00E153FD" w:rsidRPr="00505F72" w:rsidTr="00583AF0">
        <w:trPr>
          <w:trHeight w:val="37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5E84" w:rsidRDefault="00985E84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4B1F" w:rsidRDefault="00254B1F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C54B6" w:rsidRDefault="00AC54B6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54B1F" w:rsidRDefault="00254B1F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D535A7" w:rsidRDefault="00E153FD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</w:t>
            </w:r>
          </w:p>
          <w:p w:rsidR="00D535A7" w:rsidRDefault="00D535A7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153FD" w:rsidRPr="00E153FD" w:rsidRDefault="00D535A7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7736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Додаток </w:t>
            </w:r>
          </w:p>
          <w:p w:rsidR="00E153FD" w:rsidRPr="00E153FD" w:rsidRDefault="00E153FD" w:rsidP="00AC5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рішення 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сьомої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сесії Гадяцької</w:t>
            </w:r>
          </w:p>
        </w:tc>
      </w:tr>
      <w:tr w:rsidR="00E153FD" w:rsidRPr="00CF17BF" w:rsidTr="00583AF0">
        <w:trPr>
          <w:trHeight w:val="37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53FD" w:rsidRPr="00E153FD" w:rsidRDefault="00E153FD" w:rsidP="00E153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</w:t>
            </w:r>
            <w:r w:rsidR="00E07A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міської ради 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восьмого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скликання</w:t>
            </w:r>
          </w:p>
          <w:p w:rsidR="00E153FD" w:rsidRPr="00E153FD" w:rsidRDefault="00E153FD" w:rsidP="00AC54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</w:t>
            </w:r>
            <w:r w:rsidR="00E07A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940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від </w:t>
            </w:r>
            <w:r w:rsidR="00940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="004C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.03</w:t>
            </w:r>
            <w:r w:rsidRPr="00E153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</w:t>
            </w:r>
            <w:r w:rsidR="00AC54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407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309</w:t>
            </w:r>
          </w:p>
        </w:tc>
      </w:tr>
    </w:tbl>
    <w:p w:rsidR="00937912" w:rsidRPr="00937912" w:rsidRDefault="00937912" w:rsidP="0093791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</w:p>
    <w:p w:rsidR="00937912" w:rsidRPr="00937912" w:rsidRDefault="00937912" w:rsidP="003031FE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  <w:r w:rsidRPr="00937912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   </w:t>
      </w:r>
      <w:r w:rsidR="00E153FD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                     </w:t>
      </w:r>
      <w:r w:rsidRPr="00937912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         </w:t>
      </w:r>
      <w:r w:rsidR="00D535A7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   </w:t>
      </w:r>
      <w:r w:rsidRPr="00937912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                                                      </w:t>
      </w:r>
    </w:p>
    <w:p w:rsidR="00937912" w:rsidRPr="00937912" w:rsidRDefault="00937912" w:rsidP="0093791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РОЗРАХУНОК</w:t>
      </w:r>
    </w:p>
    <w:p w:rsidR="00145385" w:rsidRDefault="00937912" w:rsidP="00E153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розміру кошторисної заробітної плати, який враховується при визначенні вартості будівництва об’єктів на 20</w:t>
      </w:r>
      <w:r w:rsidR="00C108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="00AC54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</w:t>
      </w: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рік, що здійснюються за рахунок бюджетних коштів      </w:t>
      </w:r>
    </w:p>
    <w:p w:rsidR="00D535A7" w:rsidRDefault="00D535A7" w:rsidP="00E153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D535A7" w:rsidRDefault="00D535A7" w:rsidP="00E153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D535A7" w:rsidRDefault="00D535A7" w:rsidP="00E153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56B04" w:rsidRPr="00156B04" w:rsidRDefault="00156B04" w:rsidP="003A7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29 січня 202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</w:t>
      </w:r>
      <w:proofErr w:type="spellStart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Держстатом</w:t>
      </w:r>
      <w:proofErr w:type="spellEnd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EE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оприлюднено інформацію щодо середньомісячної заробітної плати  за видами економічної діяльност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і за період з початку року у 2020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році.  За видом діяльності «Будівництво» її розмір становить 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9832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гривень.</w:t>
      </w:r>
    </w:p>
    <w:p w:rsidR="00156B04" w:rsidRPr="00156B04" w:rsidRDefault="00156B04" w:rsidP="003A7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остановою Кабінету Міністрів України від 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29.07.2020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№</w:t>
      </w:r>
      <w:r w:rsidR="004C7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671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схвалено Прогноз економічного і соціального розвитку України на 202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та визначено основні прогнозні </w:t>
      </w:r>
      <w:proofErr w:type="spellStart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макропоказники</w:t>
      </w:r>
      <w:proofErr w:type="spellEnd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економічного і соціального розвитку України, серед яких прогнозний індекс споживчих цін на 202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становить </w:t>
      </w:r>
      <w:r w:rsidR="00E07AC7">
        <w:rPr>
          <w:rFonts w:ascii="Times New Roman" w:eastAsia="Times New Roman" w:hAnsi="Times New Roman" w:cs="Times New Roman"/>
          <w:sz w:val="28"/>
          <w:szCs w:val="28"/>
          <w:lang w:eastAsia="ru-RU"/>
        </w:rPr>
        <w:t>108,1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відсотків.</w:t>
      </w:r>
    </w:p>
    <w:p w:rsidR="00156B04" w:rsidRPr="00156B04" w:rsidRDefault="00156B04" w:rsidP="003A7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наказу </w:t>
      </w:r>
      <w:proofErr w:type="spellStart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Мінрегіону</w:t>
      </w:r>
      <w:proofErr w:type="spellEnd"/>
      <w:r w:rsidRPr="0015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 жовтня 2016 року  № 281 «Про затвердження Порядку розрахунку розміру кошторисної заробітної плати, який враховується при визначенні вартості будівництва об’єктів» (зареєстровано  в Мін’юсті 11 листопада 2016 році за № 1469/29599):</w:t>
      </w:r>
    </w:p>
    <w:p w:rsidR="009A6F00" w:rsidRPr="009A6F00" w:rsidRDefault="00156B04" w:rsidP="009A6F00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</w:pPr>
      <w:r w:rsidRPr="009A6F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 xml:space="preserve">«4. Розмір кошторисної заробітної плати, який враховується при складанні </w:t>
      </w:r>
      <w:proofErr w:type="spellStart"/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>інвесторської</w:t>
      </w:r>
      <w:proofErr w:type="spellEnd"/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 xml:space="preserve"> кошторисної документації (на стадії розроблення проектної документації), визначається замовником (інвестором) у складі вихідних даних на проектування для звичайних умов будівництва за розрядом складності робіт 3,8, але не нижче ніж середньомісячна заробітна плата у будівництві (у розрахунку на одного штатного працівника) за попередній звітний рік, що оприлюднюється центральним органом виконавчої влади в галузі статистики, збільшена на прогнозний індекс споживчих цін на поточний рік (у середньому до попереднього року), який є складовою основних прогнозних </w:t>
      </w:r>
      <w:proofErr w:type="spellStart"/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>макропоказників</w:t>
      </w:r>
      <w:proofErr w:type="spellEnd"/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 xml:space="preserve"> економічного і соціального розвитку України, що схвалюют</w:t>
      </w:r>
      <w:r w:rsid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>ься Кабінетом Міністрів України</w:t>
      </w:r>
      <w:r w:rsidR="009A6F00" w:rsidRPr="009A6F00">
        <w:rPr>
          <w:rFonts w:ascii="Times New Roman" w:eastAsia="Times New Roman" w:hAnsi="Times New Roman" w:cs="Times New Roman"/>
          <w:color w:val="353D42"/>
          <w:sz w:val="28"/>
          <w:szCs w:val="28"/>
          <w:lang w:eastAsia="ru-RU"/>
        </w:rPr>
        <w:t>».</w:t>
      </w:r>
    </w:p>
    <w:p w:rsidR="00156B04" w:rsidRPr="00937912" w:rsidRDefault="00156B04" w:rsidP="009A6F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ЗПкошт</w:t>
      </w:r>
      <w:proofErr w:type="spellEnd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 = </w:t>
      </w:r>
      <w:proofErr w:type="spellStart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ЗПсеред</w:t>
      </w:r>
      <w:proofErr w:type="spellEnd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 × ІСЦ,</w:t>
      </w:r>
    </w:p>
    <w:p w:rsidR="00156B04" w:rsidRPr="00937912" w:rsidRDefault="00156B04" w:rsidP="009A6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 </w:t>
      </w:r>
      <w:proofErr w:type="spellStart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ЗПсеред</w:t>
      </w:r>
      <w:proofErr w:type="spellEnd"/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 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середньомісячна заробітна плата в будівництві (у розрахунку на одного штатного працівника) за 20</w:t>
      </w:r>
      <w:r w:rsidR="00B51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рік;</w:t>
      </w:r>
    </w:p>
    <w:p w:rsidR="00156B04" w:rsidRPr="00156B04" w:rsidRDefault="00156B04" w:rsidP="009A6F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ІСЦ 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прогнозний індекс споживчих цін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E07AC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(у середньому до попереднього року).</w:t>
      </w:r>
    </w:p>
    <w:p w:rsidR="00156B04" w:rsidRPr="00937912" w:rsidRDefault="00156B04" w:rsidP="009A6F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ЗП кошт = </w:t>
      </w:r>
      <w:r w:rsidR="00E07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9832</w:t>
      </w: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× 1,0</w:t>
      </w:r>
      <w:r w:rsidR="00E07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81</w:t>
      </w: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% = </w:t>
      </w:r>
      <w:r w:rsidR="00E07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10628,39</w:t>
      </w: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грн.</w:t>
      </w:r>
    </w:p>
    <w:p w:rsidR="00D535A7" w:rsidRDefault="00D535A7" w:rsidP="0015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535A7" w:rsidRDefault="00D535A7" w:rsidP="0015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535A7" w:rsidRDefault="00D535A7" w:rsidP="0015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535A7" w:rsidRDefault="00D535A7" w:rsidP="0015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56B04" w:rsidRPr="00937912" w:rsidRDefault="00156B04" w:rsidP="00156B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урахуванням наявних даних розміру кошторисної заробітної плати, який враховується при визначенні вартості будівництва об’єктів 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3482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рік за рахунок бюджетних коштів та коштів підприємств, установ, організацій, що належать до комунальної власності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Гадяцької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ради складає </w:t>
      </w:r>
      <w:r w:rsidR="00E07A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10628</w:t>
      </w:r>
      <w:r w:rsidRPr="00937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</w:t>
      </w:r>
      <w:r w:rsidRPr="0093791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грн.</w:t>
      </w:r>
    </w:p>
    <w:p w:rsidR="00937912" w:rsidRDefault="00937912" w:rsidP="009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535A7" w:rsidRDefault="00D535A7" w:rsidP="009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535A7" w:rsidRPr="00937912" w:rsidRDefault="00D535A7" w:rsidP="009379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63F01" w:rsidRPr="004618E3" w:rsidRDefault="00863F01" w:rsidP="00E153FD">
      <w:pPr>
        <w:spacing w:after="0" w:line="240" w:lineRule="auto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E3">
        <w:rPr>
          <w:rFonts w:ascii="Times New Roman" w:eastAsia="Calibri" w:hAnsi="Times New Roman" w:cs="Times New Roman"/>
          <w:sz w:val="28"/>
          <w:szCs w:val="28"/>
        </w:rPr>
        <w:t>Головний спеціаліст відділу містобудування,</w:t>
      </w:r>
      <w:r w:rsidRPr="004618E3">
        <w:rPr>
          <w:rFonts w:ascii="Times New Roman" w:eastAsia="Calibri" w:hAnsi="Times New Roman" w:cs="Times New Roman"/>
          <w:sz w:val="28"/>
          <w:szCs w:val="28"/>
        </w:rPr>
        <w:tab/>
      </w:r>
      <w:r w:rsidRPr="004618E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І.А.Смірнова</w:t>
      </w:r>
    </w:p>
    <w:p w:rsidR="00863F01" w:rsidRPr="004618E3" w:rsidRDefault="00863F01" w:rsidP="00E153FD">
      <w:pPr>
        <w:spacing w:after="0" w:line="240" w:lineRule="auto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E3">
        <w:rPr>
          <w:rFonts w:ascii="Times New Roman" w:eastAsia="Calibri" w:hAnsi="Times New Roman" w:cs="Times New Roman"/>
          <w:sz w:val="28"/>
          <w:szCs w:val="28"/>
        </w:rPr>
        <w:t>архітектури, житлово-комунального</w:t>
      </w:r>
    </w:p>
    <w:p w:rsidR="00863F01" w:rsidRPr="004618E3" w:rsidRDefault="00863F01" w:rsidP="00863F01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18E3">
        <w:rPr>
          <w:rFonts w:ascii="Times New Roman" w:eastAsia="Calibri" w:hAnsi="Times New Roman" w:cs="Times New Roman"/>
          <w:sz w:val="28"/>
          <w:szCs w:val="28"/>
        </w:rPr>
        <w:t>господарства та будівництва</w:t>
      </w:r>
      <w:r w:rsidR="003A7EA1" w:rsidRPr="004618E3">
        <w:rPr>
          <w:rFonts w:ascii="Times New Roman" w:eastAsia="Calibri" w:hAnsi="Times New Roman" w:cs="Times New Roman"/>
          <w:sz w:val="28"/>
          <w:szCs w:val="28"/>
        </w:rPr>
        <w:t xml:space="preserve"> Гадяцької міської ради</w:t>
      </w:r>
    </w:p>
    <w:p w:rsidR="00E07AC7" w:rsidRPr="004618E3" w:rsidRDefault="00E07AC7" w:rsidP="00134828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92A56" w:rsidRPr="004618E3" w:rsidRDefault="00A92A56" w:rsidP="00A92A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18E3">
        <w:rPr>
          <w:rFonts w:ascii="Times New Roman" w:hAnsi="Times New Roman" w:cs="Times New Roman"/>
          <w:color w:val="FF0000"/>
          <w:sz w:val="28"/>
          <w:szCs w:val="28"/>
        </w:rPr>
        <w:t>Начальник відділу містобудування,</w:t>
      </w:r>
      <w:r w:rsidRPr="004618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618E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618E3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                   </w:t>
      </w:r>
      <w:proofErr w:type="spellStart"/>
      <w:r w:rsidRPr="004618E3">
        <w:rPr>
          <w:rFonts w:ascii="Times New Roman" w:hAnsi="Times New Roman" w:cs="Times New Roman"/>
          <w:color w:val="FF0000"/>
          <w:sz w:val="28"/>
          <w:szCs w:val="28"/>
        </w:rPr>
        <w:t>І.М.Єрьоміна</w:t>
      </w:r>
      <w:proofErr w:type="spellEnd"/>
    </w:p>
    <w:p w:rsidR="00A92A56" w:rsidRPr="004618E3" w:rsidRDefault="00A92A56" w:rsidP="00A92A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18E3">
        <w:rPr>
          <w:rFonts w:ascii="Times New Roman" w:hAnsi="Times New Roman" w:cs="Times New Roman"/>
          <w:color w:val="FF0000"/>
          <w:sz w:val="28"/>
          <w:szCs w:val="28"/>
        </w:rPr>
        <w:t>архітектури, житлово-комунального</w:t>
      </w:r>
    </w:p>
    <w:p w:rsidR="00A92A56" w:rsidRPr="004618E3" w:rsidRDefault="00A92A56" w:rsidP="00A92A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18E3">
        <w:rPr>
          <w:rFonts w:ascii="Times New Roman" w:hAnsi="Times New Roman" w:cs="Times New Roman"/>
          <w:color w:val="FF0000"/>
          <w:sz w:val="28"/>
          <w:szCs w:val="28"/>
        </w:rPr>
        <w:t>господарства та будівництва-архітектор</w:t>
      </w:r>
    </w:p>
    <w:p w:rsidR="00A92A56" w:rsidRPr="004618E3" w:rsidRDefault="00A92A56" w:rsidP="00A92A5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618E3">
        <w:rPr>
          <w:rFonts w:ascii="Times New Roman" w:hAnsi="Times New Roman" w:cs="Times New Roman"/>
          <w:color w:val="FF0000"/>
          <w:sz w:val="28"/>
          <w:szCs w:val="28"/>
        </w:rPr>
        <w:t>міської ради</w:t>
      </w:r>
    </w:p>
    <w:p w:rsidR="008720A7" w:rsidRDefault="008720A7"/>
    <w:sectPr w:rsidR="008720A7" w:rsidSect="00715869">
      <w:pgSz w:w="11906" w:h="16838"/>
      <w:pgMar w:top="0" w:right="566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873"/>
    <w:multiLevelType w:val="multilevel"/>
    <w:tmpl w:val="59D0F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11"/>
    <w:rsid w:val="0000764A"/>
    <w:rsid w:val="000F5E44"/>
    <w:rsid w:val="000F70FB"/>
    <w:rsid w:val="001241EA"/>
    <w:rsid w:val="00134828"/>
    <w:rsid w:val="00145385"/>
    <w:rsid w:val="00156B04"/>
    <w:rsid w:val="001617B6"/>
    <w:rsid w:val="00161D31"/>
    <w:rsid w:val="00164D71"/>
    <w:rsid w:val="00177E6C"/>
    <w:rsid w:val="001F4E3E"/>
    <w:rsid w:val="00200E32"/>
    <w:rsid w:val="00230008"/>
    <w:rsid w:val="00254B1F"/>
    <w:rsid w:val="002A7E43"/>
    <w:rsid w:val="003031FE"/>
    <w:rsid w:val="00316146"/>
    <w:rsid w:val="00356B62"/>
    <w:rsid w:val="00383B0A"/>
    <w:rsid w:val="0038757F"/>
    <w:rsid w:val="003A7EA1"/>
    <w:rsid w:val="00460F49"/>
    <w:rsid w:val="004618E3"/>
    <w:rsid w:val="004A25D9"/>
    <w:rsid w:val="004B4F71"/>
    <w:rsid w:val="004C759E"/>
    <w:rsid w:val="004C7762"/>
    <w:rsid w:val="00547F83"/>
    <w:rsid w:val="005833D6"/>
    <w:rsid w:val="005A4FD2"/>
    <w:rsid w:val="005F3B6D"/>
    <w:rsid w:val="00674983"/>
    <w:rsid w:val="00715869"/>
    <w:rsid w:val="0073028E"/>
    <w:rsid w:val="00771BDB"/>
    <w:rsid w:val="0077366E"/>
    <w:rsid w:val="007B154D"/>
    <w:rsid w:val="007F46E4"/>
    <w:rsid w:val="008234A3"/>
    <w:rsid w:val="008304C3"/>
    <w:rsid w:val="00841A4A"/>
    <w:rsid w:val="00863911"/>
    <w:rsid w:val="00863F01"/>
    <w:rsid w:val="008720A7"/>
    <w:rsid w:val="008A7D00"/>
    <w:rsid w:val="008C11A9"/>
    <w:rsid w:val="00924208"/>
    <w:rsid w:val="00937912"/>
    <w:rsid w:val="009407E8"/>
    <w:rsid w:val="00983C13"/>
    <w:rsid w:val="00985E84"/>
    <w:rsid w:val="00992D27"/>
    <w:rsid w:val="009A6F00"/>
    <w:rsid w:val="009B3595"/>
    <w:rsid w:val="009B632E"/>
    <w:rsid w:val="00A92A56"/>
    <w:rsid w:val="00AB1FD0"/>
    <w:rsid w:val="00AC54B6"/>
    <w:rsid w:val="00AE2CFD"/>
    <w:rsid w:val="00AF7158"/>
    <w:rsid w:val="00B23DBB"/>
    <w:rsid w:val="00B5193E"/>
    <w:rsid w:val="00BD15ED"/>
    <w:rsid w:val="00BE0277"/>
    <w:rsid w:val="00BE111E"/>
    <w:rsid w:val="00C108B3"/>
    <w:rsid w:val="00C11265"/>
    <w:rsid w:val="00C2717E"/>
    <w:rsid w:val="00C31794"/>
    <w:rsid w:val="00C65853"/>
    <w:rsid w:val="00C6628F"/>
    <w:rsid w:val="00C811BB"/>
    <w:rsid w:val="00CE32DD"/>
    <w:rsid w:val="00D00629"/>
    <w:rsid w:val="00D535A7"/>
    <w:rsid w:val="00DD1A2C"/>
    <w:rsid w:val="00E03426"/>
    <w:rsid w:val="00E07AC7"/>
    <w:rsid w:val="00E153FD"/>
    <w:rsid w:val="00E23635"/>
    <w:rsid w:val="00E95296"/>
    <w:rsid w:val="00EC0E7A"/>
    <w:rsid w:val="00EE3E78"/>
    <w:rsid w:val="00F2632E"/>
    <w:rsid w:val="00FC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ABAB"/>
  <w15:docId w15:val="{0B66BAAF-BCFE-4317-8FFB-E0654411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15E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7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BD15E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EF6AE-5686-47E8-AC44-5E858F0B4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89</cp:revision>
  <cp:lastPrinted>2021-03-03T14:18:00Z</cp:lastPrinted>
  <dcterms:created xsi:type="dcterms:W3CDTF">2019-03-12T13:33:00Z</dcterms:created>
  <dcterms:modified xsi:type="dcterms:W3CDTF">2021-03-31T12:24:00Z</dcterms:modified>
</cp:coreProperties>
</file>