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48E" w:rsidRDefault="0002648E">
      <w:pPr>
        <w:rPr>
          <w:lang w:val="uk-UA"/>
        </w:rPr>
      </w:pPr>
    </w:p>
    <w:p w:rsidR="0002648E" w:rsidRDefault="0002648E">
      <w:pPr>
        <w:rPr>
          <w:lang w:val="uk-UA"/>
        </w:rPr>
      </w:pPr>
    </w:p>
    <w:p w:rsidR="0002648E" w:rsidRDefault="0002648E" w:rsidP="00FE3803">
      <w:pPr>
        <w:jc w:val="right"/>
        <w:rPr>
          <w:sz w:val="28"/>
          <w:szCs w:val="28"/>
          <w:lang w:val="uk-UA"/>
        </w:rPr>
      </w:pPr>
    </w:p>
    <w:p w:rsidR="0002648E" w:rsidRDefault="0002648E" w:rsidP="00FE3803">
      <w:pPr>
        <w:jc w:val="right"/>
        <w:rPr>
          <w:sz w:val="28"/>
          <w:szCs w:val="28"/>
          <w:lang w:val="uk-UA"/>
        </w:rPr>
      </w:pPr>
      <w:r>
        <w:rPr>
          <w:sz w:val="28"/>
          <w:szCs w:val="28"/>
          <w:lang w:val="uk-UA"/>
        </w:rPr>
        <w:t xml:space="preserve">Додаток 2 </w:t>
      </w:r>
    </w:p>
    <w:p w:rsidR="0002648E" w:rsidRDefault="0002648E" w:rsidP="00FE3803">
      <w:pPr>
        <w:pStyle w:val="NoSpacing"/>
        <w:jc w:val="right"/>
        <w:rPr>
          <w:rFonts w:ascii="Times New Roman" w:hAnsi="Times New Roman" w:cs="Times New Roman"/>
          <w:sz w:val="24"/>
          <w:szCs w:val="24"/>
        </w:rPr>
      </w:pPr>
      <w:r>
        <w:rPr>
          <w:rFonts w:ascii="Times New Roman" w:hAnsi="Times New Roman" w:cs="Times New Roman"/>
          <w:sz w:val="24"/>
          <w:szCs w:val="24"/>
        </w:rPr>
        <w:t>ЗАТВЕРДЖЕНО</w:t>
      </w:r>
    </w:p>
    <w:p w:rsidR="0002648E" w:rsidRDefault="0002648E" w:rsidP="00E4072D">
      <w:pPr>
        <w:pStyle w:val="a"/>
        <w:jc w:val="right"/>
        <w:rPr>
          <w:rFonts w:ascii="Times New Roman" w:hAnsi="Times New Roman" w:cs="Times New Roman"/>
          <w:sz w:val="24"/>
          <w:szCs w:val="24"/>
        </w:rPr>
      </w:pPr>
      <w:r>
        <w:rPr>
          <w:rFonts w:ascii="Times New Roman" w:hAnsi="Times New Roman" w:cs="Times New Roman"/>
          <w:sz w:val="24"/>
          <w:szCs w:val="24"/>
        </w:rPr>
        <w:t>Рішенням пʼятої позачергової сесії</w:t>
      </w:r>
    </w:p>
    <w:p w:rsidR="0002648E" w:rsidRDefault="0002648E" w:rsidP="00E4072D">
      <w:pPr>
        <w:pStyle w:val="NoSpacing"/>
        <w:jc w:val="right"/>
        <w:rPr>
          <w:rFonts w:ascii="Times New Roman" w:hAnsi="Times New Roman" w:cs="Times New Roman"/>
          <w:sz w:val="24"/>
          <w:szCs w:val="24"/>
        </w:rPr>
      </w:pPr>
      <w:r>
        <w:rPr>
          <w:rFonts w:ascii="Times New Roman" w:hAnsi="Times New Roman" w:cs="Times New Roman"/>
          <w:sz w:val="24"/>
          <w:szCs w:val="24"/>
        </w:rPr>
        <w:t xml:space="preserve">сьомого скликання </w:t>
      </w:r>
    </w:p>
    <w:p w:rsidR="0002648E" w:rsidRDefault="0002648E" w:rsidP="00FE3803">
      <w:pPr>
        <w:pStyle w:val="NoSpacing"/>
        <w:jc w:val="right"/>
        <w:rPr>
          <w:rFonts w:ascii="Times New Roman" w:hAnsi="Times New Roman" w:cs="Times New Roman"/>
          <w:sz w:val="24"/>
          <w:szCs w:val="24"/>
        </w:rPr>
      </w:pPr>
      <w:r>
        <w:rPr>
          <w:rFonts w:ascii="Times New Roman" w:hAnsi="Times New Roman" w:cs="Times New Roman"/>
          <w:sz w:val="24"/>
          <w:szCs w:val="24"/>
        </w:rPr>
        <w:t>Машівської селищної ради</w:t>
      </w:r>
    </w:p>
    <w:p w:rsidR="0002648E" w:rsidRDefault="0002648E" w:rsidP="00FE3803">
      <w:pPr>
        <w:pStyle w:val="NoSpacing"/>
        <w:jc w:val="right"/>
        <w:rPr>
          <w:rFonts w:ascii="Times New Roman" w:hAnsi="Times New Roman" w:cs="Times New Roman"/>
          <w:sz w:val="24"/>
          <w:szCs w:val="24"/>
        </w:rPr>
      </w:pPr>
      <w:r>
        <w:rPr>
          <w:rFonts w:ascii="Times New Roman" w:hAnsi="Times New Roman" w:cs="Times New Roman"/>
          <w:sz w:val="24"/>
          <w:szCs w:val="24"/>
        </w:rPr>
        <w:t>від 07 червня 2018 р.</w:t>
      </w:r>
    </w:p>
    <w:p w:rsidR="0002648E" w:rsidRDefault="0002648E" w:rsidP="00FE3803">
      <w:pPr>
        <w:jc w:val="right"/>
        <w:rPr>
          <w:sz w:val="28"/>
          <w:szCs w:val="28"/>
          <w:lang w:val="uk-UA"/>
        </w:rPr>
      </w:pPr>
    </w:p>
    <w:p w:rsidR="0002648E" w:rsidRPr="00B97012" w:rsidRDefault="0002648E" w:rsidP="00586C14">
      <w:pPr>
        <w:spacing w:before="100" w:beforeAutospacing="1" w:after="100" w:afterAutospacing="1"/>
        <w:jc w:val="center"/>
        <w:outlineLvl w:val="2"/>
        <w:rPr>
          <w:b/>
          <w:bCs/>
          <w:sz w:val="27"/>
          <w:szCs w:val="27"/>
          <w:lang w:val="uk-UA"/>
        </w:rPr>
      </w:pPr>
      <w:r>
        <w:rPr>
          <w:b/>
          <w:bCs/>
          <w:sz w:val="27"/>
          <w:szCs w:val="27"/>
        </w:rPr>
        <w:t>СТАВКИ</w:t>
      </w:r>
      <w:r>
        <w:rPr>
          <w:b/>
          <w:bCs/>
          <w:sz w:val="27"/>
          <w:szCs w:val="27"/>
        </w:rPr>
        <w:br/>
        <w:t>податку на нерухоме майно, відмінне від земельної ділянки</w:t>
      </w:r>
    </w:p>
    <w:p w:rsidR="0002648E" w:rsidRDefault="0002648E" w:rsidP="00586C14">
      <w:pPr>
        <w:spacing w:before="100" w:beforeAutospacing="1" w:after="100" w:afterAutospacing="1"/>
        <w:jc w:val="center"/>
      </w:pPr>
      <w:r>
        <w:t xml:space="preserve">Ставки встановлюються на </w:t>
      </w:r>
      <w:r>
        <w:rPr>
          <w:lang w:val="uk-UA"/>
        </w:rPr>
        <w:t>2019</w:t>
      </w:r>
      <w:r>
        <w:t xml:space="preserve"> рік та вводяться в дію з </w:t>
      </w:r>
      <w:r>
        <w:rPr>
          <w:lang w:val="uk-UA"/>
        </w:rPr>
        <w:t xml:space="preserve">01 січня </w:t>
      </w:r>
      <w:r>
        <w:t>20</w:t>
      </w:r>
      <w:r>
        <w:rPr>
          <w:lang w:val="uk-UA"/>
        </w:rPr>
        <w:t>19</w:t>
      </w:r>
      <w:r>
        <w:t xml:space="preserve"> року.</w:t>
      </w:r>
    </w:p>
    <w:p w:rsidR="0002648E" w:rsidRDefault="0002648E" w:rsidP="004B7754">
      <w:pPr>
        <w:jc w:val="center"/>
        <w:rPr>
          <w:noProof/>
        </w:rPr>
      </w:pPr>
      <w:r>
        <w:rPr>
          <w:noProof/>
        </w:rPr>
        <w:t>Н</w:t>
      </w:r>
      <w:r w:rsidRPr="00954E56">
        <w:rPr>
          <w:noProof/>
        </w:rPr>
        <w:t xml:space="preserve">аселені </w:t>
      </w:r>
      <w:r>
        <w:rPr>
          <w:noProof/>
        </w:rPr>
        <w:t>пункти Машівської селищної ради</w:t>
      </w:r>
      <w:r w:rsidRPr="00954E56">
        <w:rPr>
          <w:noProof/>
        </w:rPr>
        <w:t>, на які поширюється дія рішення ради:</w:t>
      </w:r>
      <w:r>
        <w:rPr>
          <w:noProof/>
        </w:rPr>
        <w:t xml:space="preserve"> </w:t>
      </w:r>
    </w:p>
    <w:p w:rsidR="0002648E" w:rsidRDefault="0002648E" w:rsidP="004B7754">
      <w:pPr>
        <w:jc w:val="center"/>
        <w:rPr>
          <w:lang w:val="uk-UA"/>
        </w:rPr>
      </w:pPr>
      <w:r>
        <w:rPr>
          <w:noProof/>
        </w:rPr>
        <w:t xml:space="preserve">смт. Машівка, села </w:t>
      </w:r>
      <w:r w:rsidRPr="007C272A">
        <w:rPr>
          <w:noProof/>
        </w:rPr>
        <w:t>В</w:t>
      </w:r>
      <w:r w:rsidRPr="007C272A">
        <w:t>ільне, Козельщина, Латишівка, Новий Тагамлик, Огуївка, Селещина, Сухоносівка, Тимченківка</w:t>
      </w:r>
    </w:p>
    <w:p w:rsidR="0002648E" w:rsidRPr="004B7754" w:rsidRDefault="0002648E" w:rsidP="004B3917">
      <w:pPr>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Look w:val="00A0"/>
      </w:tblPr>
      <w:tblGrid>
        <w:gridCol w:w="786"/>
        <w:gridCol w:w="238"/>
        <w:gridCol w:w="828"/>
        <w:gridCol w:w="1098"/>
        <w:gridCol w:w="1822"/>
        <w:gridCol w:w="634"/>
        <w:gridCol w:w="634"/>
        <w:gridCol w:w="859"/>
        <w:gridCol w:w="634"/>
        <w:gridCol w:w="634"/>
        <w:gridCol w:w="1560"/>
      </w:tblGrid>
      <w:tr w:rsidR="0002648E" w:rsidTr="004B7754">
        <w:trPr>
          <w:tblCellSpacing w:w="22" w:type="dxa"/>
        </w:trPr>
        <w:tc>
          <w:tcPr>
            <w:tcW w:w="497" w:type="pct"/>
            <w:gridSpan w:val="2"/>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Код області</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Код району</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Код згідно з КОАТУУ</w:t>
            </w:r>
          </w:p>
        </w:tc>
        <w:tc>
          <w:tcPr>
            <w:tcW w:w="3429" w:type="pct"/>
            <w:gridSpan w:val="7"/>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jc w:val="center"/>
            </w:pPr>
            <w:r>
              <w:rPr>
                <w:lang w:val="uk-UA"/>
              </w:rPr>
              <w:t xml:space="preserve">Назва </w:t>
            </w:r>
          </w:p>
        </w:tc>
      </w:tr>
      <w:tr w:rsidR="0002648E" w:rsidTr="004B7754">
        <w:trPr>
          <w:tblCellSpacing w:w="22" w:type="dxa"/>
        </w:trPr>
        <w:tc>
          <w:tcPr>
            <w:tcW w:w="497" w:type="pct"/>
            <w:gridSpan w:val="2"/>
            <w:tcBorders>
              <w:top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429" w:type="pct"/>
            <w:gridSpan w:val="7"/>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4B7754">
            <w:pPr>
              <w:spacing w:before="100" w:beforeAutospacing="1" w:after="100" w:afterAutospacing="1"/>
              <w:jc w:val="center"/>
              <w:rPr>
                <w:lang w:val="uk-UA"/>
              </w:rPr>
            </w:pPr>
            <w:r>
              <w:rPr>
                <w:lang w:val="uk-UA"/>
              </w:rPr>
              <w:t>Машівська селищна рада</w:t>
            </w:r>
          </w:p>
        </w:tc>
      </w:tr>
      <w:tr w:rsidR="0002648E" w:rsidTr="004B7754">
        <w:trPr>
          <w:tblCellSpacing w:w="22" w:type="dxa"/>
        </w:trPr>
        <w:tc>
          <w:tcPr>
            <w:tcW w:w="2427" w:type="pct"/>
            <w:gridSpan w:val="5"/>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Класифікація будівель та споруд</w:t>
            </w:r>
            <w:r>
              <w:rPr>
                <w:vertAlign w:val="superscript"/>
              </w:rPr>
              <w:t>2</w:t>
            </w:r>
          </w:p>
        </w:tc>
        <w:tc>
          <w:tcPr>
            <w:tcW w:w="2504" w:type="pct"/>
            <w:gridSpan w:val="6"/>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Ставки податку</w:t>
            </w:r>
            <w:r>
              <w:rPr>
                <w:vertAlign w:val="superscript"/>
              </w:rPr>
              <w:t>3</w:t>
            </w:r>
            <w:r>
              <w:t xml:space="preserve"> за </w:t>
            </w:r>
            <w:smartTag w:uri="urn:schemas-microsoft-com:office:smarttags" w:element="metricconverter">
              <w:smartTagPr>
                <w:attr w:name="ProductID" w:val="1 кв. метр"/>
              </w:smartTagPr>
              <w:r>
                <w:t>1 кв. метр</w:t>
              </w:r>
            </w:smartTag>
            <w:r>
              <w:br/>
              <w:t>(відсотків розміру мінімальної заробітної плати)</w:t>
            </w:r>
          </w:p>
        </w:tc>
      </w:tr>
      <w:tr w:rsidR="0002648E" w:rsidTr="004B7754">
        <w:trPr>
          <w:tblCellSpacing w:w="22" w:type="dxa"/>
        </w:trPr>
        <w:tc>
          <w:tcPr>
            <w:tcW w:w="376" w:type="pct"/>
            <w:vMerge w:val="restar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код</w:t>
            </w:r>
            <w:r>
              <w:rPr>
                <w:vertAlign w:val="superscript"/>
              </w:rPr>
              <w:t>2</w:t>
            </w:r>
          </w:p>
        </w:tc>
        <w:tc>
          <w:tcPr>
            <w:tcW w:w="2028" w:type="pct"/>
            <w:gridSpan w:val="4"/>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найменування</w:t>
            </w:r>
            <w:r>
              <w:rPr>
                <w:vertAlign w:val="superscript"/>
              </w:rPr>
              <w:t>2</w:t>
            </w:r>
          </w:p>
        </w:tc>
        <w:tc>
          <w:tcPr>
            <w:tcW w:w="1070"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для юридичних осіб</w:t>
            </w:r>
          </w:p>
        </w:tc>
        <w:tc>
          <w:tcPr>
            <w:tcW w:w="1411" w:type="pct"/>
            <w:gridSpan w:val="3"/>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для фізичних осіб</w:t>
            </w:r>
          </w:p>
        </w:tc>
      </w:tr>
      <w:tr w:rsidR="0002648E" w:rsidTr="004B7754">
        <w:trPr>
          <w:tblCellSpacing w:w="22" w:type="dxa"/>
        </w:trPr>
        <w:tc>
          <w:tcPr>
            <w:tcW w:w="0" w:type="auto"/>
            <w:vMerge/>
            <w:tcBorders>
              <w:top w:val="outset" w:sz="6" w:space="0" w:color="auto"/>
              <w:bottom w:val="outset" w:sz="6" w:space="0" w:color="auto"/>
              <w:right w:val="outset" w:sz="6" w:space="0" w:color="auto"/>
            </w:tcBorders>
            <w:vAlign w:val="center"/>
          </w:tcPr>
          <w:p w:rsidR="0002648E" w:rsidRDefault="0002648E" w:rsidP="001F5F9F"/>
        </w:tc>
        <w:tc>
          <w:tcPr>
            <w:tcW w:w="0" w:type="auto"/>
            <w:gridSpan w:val="4"/>
            <w:vMerge/>
            <w:tcBorders>
              <w:top w:val="outset" w:sz="6" w:space="0" w:color="auto"/>
              <w:left w:val="outset" w:sz="6" w:space="0" w:color="auto"/>
              <w:bottom w:val="outset" w:sz="6" w:space="0" w:color="auto"/>
              <w:right w:val="outset" w:sz="6" w:space="0" w:color="auto"/>
            </w:tcBorders>
            <w:vAlign w:val="center"/>
          </w:tcPr>
          <w:p w:rsidR="0002648E" w:rsidRDefault="0002648E" w:rsidP="001F5F9F"/>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 зона</w:t>
            </w:r>
            <w:r>
              <w:rPr>
                <w:vertAlign w:val="superscript"/>
              </w:rPr>
              <w:t>4</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2 зона</w:t>
            </w:r>
            <w:r>
              <w:rPr>
                <w:vertAlign w:val="superscript"/>
              </w:rPr>
              <w:t>4</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3 зона</w:t>
            </w:r>
            <w:r>
              <w:rPr>
                <w:vertAlign w:val="superscript"/>
              </w:rPr>
              <w:t>4</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 зона</w:t>
            </w:r>
            <w:r>
              <w:rPr>
                <w:vertAlign w:val="superscript"/>
              </w:rPr>
              <w:t>4</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2 зона</w:t>
            </w:r>
            <w:r>
              <w:rPr>
                <w:vertAlign w:val="superscript"/>
              </w:rPr>
              <w:t>4</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3 зона</w:t>
            </w:r>
            <w:r>
              <w:rPr>
                <w:vertAlign w:val="superscript"/>
              </w:rPr>
              <w:t>4</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житлові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одноквартирні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1110</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одноквартирні</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1110.1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одноквартирні масової забудови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1110.2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Котеджі та будинки одноквартирні підвищеної комфортності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1110.3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садибного типу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1110.4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дачні та садові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з двома та більше квартирами</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з двома квартирами</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двоквартирні масової забудови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Котеджі та будинки двоквартирні підвищеної комфортності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з трьома та більше квартирами</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багатоквартирні масової забудови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багатоквартирні підвищеної комфортності, індивідуальні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0,5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1122.3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житлові готельного типу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Гуртожитки</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Гуртожитки для робітників та службовців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Гуртожитки для студентів вищих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Гуртожитки для учнів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Будинки-інтернати для людей похилого віку та інвалідів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дитини та сирітські будинки</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для біженців, притулки для бездомних</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1130.9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Будинки для колективного проживання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AB7D11" w:rsidRDefault="0002648E" w:rsidP="00AB7D11">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нежитлові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Готелі, ресторани та подібні будівлі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готельні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Готелі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Мотелі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Кемпінги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Пансіонати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AB7D11" w:rsidRDefault="0002648E" w:rsidP="00AB7D11">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1211.5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Ресторани та бари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AB7D11" w:rsidRDefault="0002648E" w:rsidP="00AB7D11">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Інші будівлі для тимчасового проживання</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Туристичні бази та гірські притулки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Дитячі та сімейні табори відпочинку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1,0</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1,0</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Центри та будинки відпочинку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1212.9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Інші будівлі для тимчасового проживання, не класифіковані раніше</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офісні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офісні</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органів державного та місцевого управління</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фінансового обслуговування</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органів правосуддя</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закордонних представництв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Адміністративно-побутові будівлі промислових підприємств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1220.9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конторських та адміністративних цілей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торговельні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торговельні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Торгові центри, універмаги, магазини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Криті ринки, павільйони та зали для ярмарків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Станції технічного обслуговування автомобілів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Їдальні, кафе, закусочні тощо</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Бази та склади підприємств торгівлі і громадського харчування</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побутового обслуговування</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1230.9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торговельні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транспорту та засобів зв'язку</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Вокзали, аеровокзали, будівлі засобів зв'язку та пов'язані з ними будівлі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Автовокзали та інші будівлі автомобільного транспорту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Вокзали та інші будівлі залізничного транспорту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міського електротранспорту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Аеровокзали та інші будівлі повітряного транспорту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Морські та річкові вокзали, маяки та пов'язані з ними будівлі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станцій підвісних та канатних доріг</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1241.7</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центрів радіо- та телевізійного мовлення, телефонних станцій, телекомунікаційних центрів тощо</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1241.8</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Ангари для літаків, локомотивні, вагонні, трамвайні та тролейбусні депо</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1241.9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транспорту та засобів зв'язку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Гаражі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Гаражі наземні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Гаражі підземні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Стоянки автомобільні криті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1242.4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Навіси для велосипедів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промислові та склади</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промислові</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машинобудування та металообробної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4A3806">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чорної металургії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хімічної та нафтохімічної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легкої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харчової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медичної та мікробіологічної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1251.7</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лісової, деревообробної та целюлозно-паперової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1251.8</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будівельної індустрії, будівельних матеріалів та виробів, скляної та фарфоро-фаянсової промисловості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1251.9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інших промислових виробництв, включаючи поліграфічне</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Резервуари, силоси та склади</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Резервуари для нафти, нафтопродуктів та газу</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Резервуари та ємності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Силоси для зерна</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Силоси для цементу та інших сипучих матеріалів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971F2A"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Склади спеціальні товарні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Холодильники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1252.7</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Складські майданчики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1252.8</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Склади універсальні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1252.9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Склади та сховища інші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публічних виступів, закладів освітнього, медичного та оздоровчого призначення</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публічних виступів</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Театри, кінотеатри та концертні зали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Зали засідань та багатоцільові зали для публічних виступів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Цирки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Казино, ігорні будинки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Музичні та танцювальні зали, дискотеки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1261.9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публічних виступів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Музеї та бібліотеки</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Музеї та художні галереї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Бібліотеки, книгосховища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Технічні центри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Планетарії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архівів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1262.6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зоологічних та ботанічних садів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навчальних та дослідних закладів</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науково-дослідних та проектно-вишукувальних установ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вищих навчальних закладів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шкіл та інших середніх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професійно-технічних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дошкільних та позашкільних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спеціальних навчальних закладів для дітей з особливими потребами</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1263.7</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закладів з фахової перепідготовки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1263.8</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метеорологічних станцій, обсерваторій</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1263.9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освітніх та науково-дослідних закладів інші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лікарень та оздоровчих закладів</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Лікарні багатопрофільні територіального обслуговування, навчальних закладів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Лікарні профільні, диспансери</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Материнські та дитячі реабілітаційні центри, пологові будинки</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Поліклініки, пункти медичного обслуговування та консультації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Шпиталі виправних закладів, в'язниць та Збройних Сил</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Санаторії, профілакторії та центри функціональної реабілітації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1264.9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Заклади лікувально-профілактичні та оздоровчі інші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1C3BD8"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Зали спортивні</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Зали гімнастичні, баскетбольні, волейбольні, тенісні тощо</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Басейни криті для плавання</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3657A6"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Хокейні та льодові стадіони криті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Манежі легкоатлетичні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Тири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1265.9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Зали спортивні інші</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нежитлові інші</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сільськогосподарського призначення, лісівництва та рибного господарства</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тваринництва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птахівництва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зберігання зерна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силосні та сінажні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садівництва, виноградарства та виноробства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1271.6</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тепличного господарства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1271.7</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рибного господарства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1271.8</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підприємств лісівництва та звірівництва</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1271.9</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сільськогосподарського призначення інші</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B97012"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1272</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для культової та релігійної діяльності</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1272.1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Церкви, собори, костьоли, мечеті, синагоги тощо</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1272.2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Похоронні бюро та ритуальні зали</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1272.3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Цвинтарі та крематорії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1273</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Пам'ятки історичні та такі, що охороняються державою</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1273.1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Пам'ятки історії та архітектури</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275389"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1273.2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Археологічні розкопки, руїни та історичні місця, що охороняються державою</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1273.3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Меморіали, художньо-декоративні будівлі, статуї</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w:t>
            </w:r>
          </w:p>
        </w:tc>
        <w:tc>
          <w:tcPr>
            <w:tcW w:w="4555" w:type="pct"/>
            <w:gridSpan w:val="10"/>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інші, не класифіковані раніше</w:t>
            </w:r>
            <w:r>
              <w:rPr>
                <w:vertAlign w:val="superscript"/>
              </w:rPr>
              <w:t>5</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1274.1</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Казарми Збройних Сил</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1274.2</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поліцейських та пожежних служб</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1274.3</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виправних закладів, в'язниць та слідчих ізоляторів</w:t>
            </w:r>
            <w:r>
              <w:rPr>
                <w:vertAlign w:val="superscript"/>
              </w:rPr>
              <w:t>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1274.4</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лазень та пралень</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C4273F" w:rsidRDefault="0002648E" w:rsidP="001F5F9F">
            <w:pPr>
              <w:spacing w:before="100" w:beforeAutospacing="1" w:after="100" w:afterAutospacing="1"/>
              <w:rPr>
                <w:lang w:val="uk-UA"/>
              </w:rPr>
            </w:pP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1,5</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r w:rsidR="0002648E" w:rsidTr="004B7754">
        <w:trPr>
          <w:tblCellSpacing w:w="22" w:type="dxa"/>
        </w:trPr>
        <w:tc>
          <w:tcPr>
            <w:tcW w:w="37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1274.5</w:t>
            </w:r>
          </w:p>
        </w:tc>
        <w:tc>
          <w:tcPr>
            <w:tcW w:w="2028"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Будівлі з облаштування населених пунктів</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4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Pr="00EB501E" w:rsidRDefault="0002648E" w:rsidP="001F5F9F">
            <w:pPr>
              <w:spacing w:before="100" w:beforeAutospacing="1" w:after="100" w:afterAutospacing="1"/>
              <w:rPr>
                <w:lang w:val="uk-UA"/>
              </w:rPr>
            </w:pPr>
            <w:r>
              <w:t> </w:t>
            </w:r>
            <w:r>
              <w:rPr>
                <w:lang w:val="uk-UA"/>
              </w:rPr>
              <w:t>-</w:t>
            </w:r>
          </w:p>
        </w:tc>
        <w:tc>
          <w:tcPr>
            <w:tcW w:w="30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c>
          <w:tcPr>
            <w:tcW w:w="750"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1F5F9F">
            <w:pPr>
              <w:spacing w:before="100" w:beforeAutospacing="1" w:after="100" w:afterAutospacing="1"/>
            </w:pPr>
            <w:r>
              <w:t> </w:t>
            </w:r>
          </w:p>
        </w:tc>
      </w:tr>
    </w:tbl>
    <w:p w:rsidR="0002648E" w:rsidRDefault="0002648E" w:rsidP="00FE3803">
      <w:pPr>
        <w:rPr>
          <w:sz w:val="28"/>
          <w:szCs w:val="28"/>
          <w:lang w:val="uk-UA"/>
        </w:rPr>
      </w:pPr>
    </w:p>
    <w:p w:rsidR="0002648E" w:rsidRPr="005669CE" w:rsidRDefault="0002648E" w:rsidP="004B3917">
      <w:pPr>
        <w:pStyle w:val="Heading3"/>
        <w:widowControl w:val="0"/>
        <w:numPr>
          <w:ilvl w:val="2"/>
          <w:numId w:val="14"/>
        </w:numPr>
        <w:tabs>
          <w:tab w:val="num" w:pos="0"/>
        </w:tabs>
        <w:suppressAutoHyphens/>
        <w:spacing w:before="0" w:beforeAutospacing="0" w:after="0" w:afterAutospacing="0"/>
        <w:ind w:left="0" w:firstLine="0"/>
        <w:jc w:val="both"/>
        <w:rPr>
          <w:b w:val="0"/>
          <w:bCs w:val="0"/>
          <w:color w:val="000000"/>
          <w:sz w:val="24"/>
          <w:szCs w:val="24"/>
        </w:rPr>
      </w:pPr>
      <w:r w:rsidRPr="005669CE">
        <w:rPr>
          <w:b w:val="0"/>
          <w:color w:val="000000"/>
          <w:sz w:val="24"/>
          <w:szCs w:val="24"/>
        </w:rPr>
        <w:t xml:space="preserve">1. Платників </w:t>
      </w:r>
      <w:r w:rsidRPr="005669CE">
        <w:rPr>
          <w:b w:val="0"/>
          <w:color w:val="000000"/>
          <w:sz w:val="24"/>
          <w:szCs w:val="24"/>
          <w:lang w:eastAsia="uk-UA"/>
        </w:rPr>
        <w:t xml:space="preserve">податку на нерухоме майно, відмінне від земельної ділянки (далі – податок) </w:t>
      </w:r>
      <w:r w:rsidRPr="005669CE">
        <w:rPr>
          <w:b w:val="0"/>
          <w:color w:val="000000"/>
          <w:sz w:val="24"/>
          <w:szCs w:val="24"/>
        </w:rPr>
        <w:t>визначено пунктом 266.1 статті 266 Податкового кодексу України.</w:t>
      </w:r>
    </w:p>
    <w:p w:rsidR="0002648E" w:rsidRPr="004B3917" w:rsidRDefault="0002648E" w:rsidP="004B3917">
      <w:pPr>
        <w:pStyle w:val="Heading3"/>
        <w:widowControl w:val="0"/>
        <w:numPr>
          <w:ilvl w:val="2"/>
          <w:numId w:val="14"/>
        </w:numPr>
        <w:tabs>
          <w:tab w:val="num" w:pos="567"/>
        </w:tabs>
        <w:suppressAutoHyphens/>
        <w:spacing w:before="0" w:beforeAutospacing="0" w:after="0" w:afterAutospacing="0"/>
        <w:ind w:left="567" w:hanging="567"/>
        <w:jc w:val="both"/>
        <w:rPr>
          <w:b w:val="0"/>
          <w:color w:val="000000"/>
          <w:sz w:val="24"/>
          <w:szCs w:val="24"/>
        </w:rPr>
      </w:pPr>
      <w:r w:rsidRPr="005669CE">
        <w:rPr>
          <w:b w:val="0"/>
          <w:color w:val="000000"/>
          <w:sz w:val="24"/>
          <w:szCs w:val="24"/>
        </w:rPr>
        <w:t>2. Об’єкт оподаткування визначено пунктом 266.2</w:t>
      </w:r>
      <w:r>
        <w:rPr>
          <w:b w:val="0"/>
          <w:color w:val="000000"/>
          <w:sz w:val="24"/>
          <w:szCs w:val="24"/>
        </w:rPr>
        <w:t xml:space="preserve"> статті 266 Податкового кодексу</w:t>
      </w:r>
      <w:r>
        <w:rPr>
          <w:b w:val="0"/>
          <w:color w:val="000000"/>
          <w:sz w:val="24"/>
          <w:szCs w:val="24"/>
          <w:lang w:val="uk-UA"/>
        </w:rPr>
        <w:t xml:space="preserve"> </w:t>
      </w:r>
    </w:p>
    <w:p w:rsidR="0002648E" w:rsidRPr="005669CE" w:rsidRDefault="0002648E" w:rsidP="004B3917">
      <w:pPr>
        <w:pStyle w:val="Heading3"/>
        <w:widowControl w:val="0"/>
        <w:numPr>
          <w:ilvl w:val="2"/>
          <w:numId w:val="14"/>
        </w:numPr>
        <w:tabs>
          <w:tab w:val="num" w:pos="567"/>
        </w:tabs>
        <w:suppressAutoHyphens/>
        <w:spacing w:before="0" w:beforeAutospacing="0" w:after="0" w:afterAutospacing="0"/>
        <w:ind w:left="567" w:hanging="567"/>
        <w:jc w:val="both"/>
        <w:rPr>
          <w:b w:val="0"/>
          <w:color w:val="000000"/>
          <w:sz w:val="24"/>
          <w:szCs w:val="24"/>
        </w:rPr>
      </w:pPr>
      <w:r w:rsidRPr="005669CE">
        <w:rPr>
          <w:b w:val="0"/>
          <w:color w:val="000000"/>
          <w:sz w:val="24"/>
          <w:szCs w:val="24"/>
        </w:rPr>
        <w:t>України.</w:t>
      </w:r>
    </w:p>
    <w:p w:rsidR="0002648E" w:rsidRPr="005669CE" w:rsidRDefault="0002648E" w:rsidP="004B3917">
      <w:pPr>
        <w:jc w:val="both"/>
      </w:pPr>
      <w:r w:rsidRPr="005669CE">
        <w:t xml:space="preserve">2.1.об’єкти житлової нерухомості - будівлі, віднесені відповідно до законодавства до житлового фонду  </w:t>
      </w:r>
      <w:r w:rsidRPr="005669CE">
        <w:rPr>
          <w:color w:val="000000"/>
        </w:rPr>
        <w:t>визначено пунктом</w:t>
      </w:r>
      <w:r w:rsidRPr="005669CE">
        <w:t xml:space="preserve"> підпунктом 14.1.129 пункту 14.1. статті 14 </w:t>
      </w:r>
      <w:r w:rsidRPr="005669CE">
        <w:rPr>
          <w:color w:val="000000"/>
        </w:rPr>
        <w:t>Податкового кодексу України</w:t>
      </w:r>
    </w:p>
    <w:p w:rsidR="0002648E" w:rsidRDefault="0002648E" w:rsidP="004B3917">
      <w:pPr>
        <w:jc w:val="both"/>
        <w:rPr>
          <w:lang w:val="uk-UA"/>
        </w:rPr>
      </w:pPr>
      <w:r w:rsidRPr="005669CE">
        <w:t xml:space="preserve">2.2.об’єкти нежитлової нерухомості - будівлі, приміщення, що не віднесені відповідно до законодавства до житлового фонду </w:t>
      </w:r>
      <w:r w:rsidRPr="005669CE">
        <w:rPr>
          <w:color w:val="000000"/>
        </w:rPr>
        <w:t>визначено пунктом</w:t>
      </w:r>
      <w:r w:rsidRPr="005669CE">
        <w:t xml:space="preserve"> підпунктом 14.1.129</w:t>
      </w:r>
      <w:r w:rsidRPr="005669CE">
        <w:rPr>
          <w:vertAlign w:val="superscript"/>
        </w:rPr>
        <w:t>1</w:t>
      </w:r>
      <w:r w:rsidRPr="005669CE">
        <w:t xml:space="preserve"> пункту 14.1. статті 14 </w:t>
      </w:r>
      <w:r w:rsidRPr="005669CE">
        <w:rPr>
          <w:color w:val="000000"/>
        </w:rPr>
        <w:t>Податкового кодексу України</w:t>
      </w:r>
      <w:r w:rsidRPr="005669CE">
        <w:t xml:space="preserve"> </w:t>
      </w:r>
    </w:p>
    <w:p w:rsidR="0002648E" w:rsidRPr="005669CE" w:rsidRDefault="0002648E" w:rsidP="004B3917">
      <w:pPr>
        <w:pStyle w:val="BodyText"/>
        <w:tabs>
          <w:tab w:val="num" w:pos="567"/>
        </w:tabs>
        <w:ind w:left="567" w:hanging="567"/>
        <w:jc w:val="both"/>
        <w:rPr>
          <w:rFonts w:ascii="Times New Roman" w:hAnsi="Times New Roman"/>
          <w:b w:val="0"/>
          <w:color w:val="000000"/>
          <w:szCs w:val="24"/>
        </w:rPr>
      </w:pPr>
      <w:r>
        <w:rPr>
          <w:rFonts w:ascii="Times New Roman" w:hAnsi="Times New Roman"/>
          <w:b w:val="0"/>
          <w:color w:val="000000"/>
          <w:szCs w:val="24"/>
        </w:rPr>
        <w:t>3.П</w:t>
      </w:r>
      <w:r w:rsidRPr="005669CE">
        <w:rPr>
          <w:rFonts w:ascii="Times New Roman" w:hAnsi="Times New Roman"/>
          <w:b w:val="0"/>
          <w:color w:val="000000"/>
          <w:szCs w:val="24"/>
        </w:rPr>
        <w:t xml:space="preserve">ерелік об’єктів нерухомості, які не підлягають оподаткуванню податком, визначено </w:t>
      </w:r>
    </w:p>
    <w:p w:rsidR="0002648E" w:rsidRPr="004A3806" w:rsidRDefault="0002648E" w:rsidP="004A3806">
      <w:pPr>
        <w:pStyle w:val="BodyText"/>
        <w:tabs>
          <w:tab w:val="num" w:pos="567"/>
        </w:tabs>
        <w:ind w:left="567" w:hanging="567"/>
        <w:jc w:val="both"/>
        <w:rPr>
          <w:rFonts w:ascii="Times New Roman" w:hAnsi="Times New Roman"/>
          <w:b w:val="0"/>
          <w:color w:val="000000"/>
          <w:szCs w:val="24"/>
        </w:rPr>
      </w:pPr>
      <w:r w:rsidRPr="005669CE">
        <w:rPr>
          <w:rFonts w:ascii="Times New Roman" w:hAnsi="Times New Roman"/>
          <w:b w:val="0"/>
          <w:color w:val="000000"/>
          <w:szCs w:val="24"/>
        </w:rPr>
        <w:t>підпунктом 266.2.2 пункту 266.2 статті 266 Податкового кодексу України.</w:t>
      </w:r>
    </w:p>
    <w:p w:rsidR="0002648E" w:rsidRPr="005669CE" w:rsidRDefault="0002648E" w:rsidP="004B3917">
      <w:pPr>
        <w:pStyle w:val="Heading3"/>
        <w:widowControl w:val="0"/>
        <w:numPr>
          <w:ilvl w:val="2"/>
          <w:numId w:val="14"/>
        </w:numPr>
        <w:tabs>
          <w:tab w:val="num" w:pos="567"/>
        </w:tabs>
        <w:suppressAutoHyphens/>
        <w:spacing w:before="0" w:beforeAutospacing="0" w:after="0" w:afterAutospacing="0"/>
        <w:ind w:left="567" w:hanging="567"/>
        <w:jc w:val="both"/>
        <w:rPr>
          <w:b w:val="0"/>
          <w:color w:val="000000"/>
          <w:sz w:val="24"/>
          <w:szCs w:val="24"/>
        </w:rPr>
      </w:pPr>
      <w:r>
        <w:rPr>
          <w:b w:val="0"/>
          <w:color w:val="000000"/>
          <w:sz w:val="24"/>
          <w:szCs w:val="24"/>
          <w:lang w:val="uk-UA"/>
        </w:rPr>
        <w:t>4</w:t>
      </w:r>
      <w:r w:rsidRPr="005669CE">
        <w:rPr>
          <w:b w:val="0"/>
          <w:color w:val="000000"/>
          <w:sz w:val="24"/>
          <w:szCs w:val="24"/>
        </w:rPr>
        <w:t>. Базу оподаткування визначено пунктом 266.3 статті 266 Податкового кодексу України.</w:t>
      </w:r>
    </w:p>
    <w:p w:rsidR="0002648E" w:rsidRPr="005669CE" w:rsidRDefault="0002648E" w:rsidP="004B3917">
      <w:pPr>
        <w:pStyle w:val="BodyText"/>
        <w:tabs>
          <w:tab w:val="num" w:pos="567"/>
        </w:tabs>
        <w:jc w:val="both"/>
        <w:rPr>
          <w:rFonts w:ascii="Times New Roman" w:hAnsi="Times New Roman"/>
          <w:b w:val="0"/>
          <w:color w:val="000000"/>
          <w:szCs w:val="24"/>
        </w:rPr>
      </w:pPr>
      <w:r>
        <w:rPr>
          <w:rFonts w:ascii="Times New Roman" w:hAnsi="Times New Roman"/>
          <w:b w:val="0"/>
          <w:bCs/>
          <w:color w:val="000000"/>
          <w:szCs w:val="24"/>
        </w:rPr>
        <w:t>5.</w:t>
      </w:r>
      <w:r w:rsidRPr="005669CE">
        <w:rPr>
          <w:rFonts w:ascii="Times New Roman" w:hAnsi="Times New Roman"/>
          <w:b w:val="0"/>
          <w:bCs/>
          <w:color w:val="000000"/>
          <w:szCs w:val="24"/>
        </w:rPr>
        <w:t>Порядок обчислення податку</w:t>
      </w:r>
      <w:r w:rsidRPr="005669CE">
        <w:rPr>
          <w:rFonts w:ascii="Times New Roman" w:hAnsi="Times New Roman"/>
          <w:b w:val="0"/>
          <w:color w:val="000000"/>
          <w:szCs w:val="24"/>
        </w:rPr>
        <w:t xml:space="preserve"> визначено підпунктами 266.7.1 – 266.7.3 пункту 266.7, пунктом 266.8 статті 266 Податкового кодексу України.</w:t>
      </w:r>
    </w:p>
    <w:p w:rsidR="0002648E" w:rsidRPr="005669CE" w:rsidRDefault="0002648E" w:rsidP="004B3917">
      <w:pPr>
        <w:pStyle w:val="BodyText"/>
        <w:tabs>
          <w:tab w:val="num" w:pos="284"/>
        </w:tabs>
        <w:jc w:val="both"/>
        <w:rPr>
          <w:rFonts w:ascii="Times New Roman" w:hAnsi="Times New Roman"/>
          <w:b w:val="0"/>
          <w:bCs/>
          <w:color w:val="000000"/>
          <w:szCs w:val="24"/>
        </w:rPr>
      </w:pPr>
      <w:r>
        <w:rPr>
          <w:rFonts w:ascii="Times New Roman" w:hAnsi="Times New Roman"/>
          <w:b w:val="0"/>
          <w:bCs/>
          <w:color w:val="000000"/>
          <w:szCs w:val="24"/>
        </w:rPr>
        <w:t>6</w:t>
      </w:r>
      <w:r w:rsidRPr="005669CE">
        <w:rPr>
          <w:rFonts w:ascii="Times New Roman" w:hAnsi="Times New Roman"/>
          <w:b w:val="0"/>
          <w:bCs/>
          <w:color w:val="000000"/>
          <w:szCs w:val="24"/>
        </w:rPr>
        <w:t xml:space="preserve">. Податковий період для податку визначено </w:t>
      </w:r>
      <w:r w:rsidRPr="005669CE">
        <w:rPr>
          <w:rFonts w:ascii="Times New Roman" w:hAnsi="Times New Roman"/>
          <w:b w:val="0"/>
          <w:color w:val="000000"/>
          <w:szCs w:val="24"/>
        </w:rPr>
        <w:t xml:space="preserve">пунктом 266.6 статті 266 </w:t>
      </w:r>
      <w:r w:rsidRPr="005669CE">
        <w:rPr>
          <w:rFonts w:ascii="Times New Roman" w:hAnsi="Times New Roman"/>
          <w:b w:val="0"/>
          <w:bCs/>
          <w:color w:val="000000"/>
          <w:szCs w:val="24"/>
        </w:rPr>
        <w:t xml:space="preserve"> </w:t>
      </w:r>
      <w:r w:rsidRPr="005669CE">
        <w:rPr>
          <w:rFonts w:ascii="Times New Roman" w:hAnsi="Times New Roman"/>
          <w:b w:val="0"/>
          <w:color w:val="000000"/>
          <w:szCs w:val="24"/>
        </w:rPr>
        <w:t>Податкового кодексу України.</w:t>
      </w:r>
    </w:p>
    <w:p w:rsidR="0002648E" w:rsidRPr="005669CE" w:rsidRDefault="0002648E" w:rsidP="004B3917">
      <w:pPr>
        <w:pStyle w:val="BodyText"/>
        <w:tabs>
          <w:tab w:val="num" w:pos="284"/>
        </w:tabs>
        <w:jc w:val="both"/>
        <w:rPr>
          <w:rFonts w:ascii="Times New Roman" w:hAnsi="Times New Roman"/>
          <w:b w:val="0"/>
          <w:color w:val="000000"/>
          <w:szCs w:val="24"/>
        </w:rPr>
      </w:pPr>
      <w:r>
        <w:rPr>
          <w:rFonts w:ascii="Times New Roman" w:hAnsi="Times New Roman"/>
          <w:b w:val="0"/>
          <w:bCs/>
          <w:color w:val="000000"/>
          <w:szCs w:val="24"/>
        </w:rPr>
        <w:t>7</w:t>
      </w:r>
      <w:r w:rsidRPr="005669CE">
        <w:rPr>
          <w:rFonts w:ascii="Times New Roman" w:hAnsi="Times New Roman"/>
          <w:b w:val="0"/>
          <w:bCs/>
          <w:color w:val="000000"/>
          <w:szCs w:val="24"/>
        </w:rPr>
        <w:t xml:space="preserve">. Строк та порядок сплати податку визначено пунктами 266.9, 266.10 статті 266 </w:t>
      </w:r>
      <w:r w:rsidRPr="005669CE">
        <w:rPr>
          <w:rFonts w:ascii="Times New Roman" w:hAnsi="Times New Roman"/>
          <w:b w:val="0"/>
          <w:color w:val="000000"/>
          <w:szCs w:val="24"/>
        </w:rPr>
        <w:t>Податкового кодексу України.</w:t>
      </w:r>
    </w:p>
    <w:p w:rsidR="0002648E" w:rsidRPr="005669CE" w:rsidRDefault="0002648E" w:rsidP="004B3917">
      <w:pPr>
        <w:pStyle w:val="BodyText"/>
        <w:tabs>
          <w:tab w:val="num" w:pos="284"/>
        </w:tabs>
        <w:jc w:val="both"/>
        <w:rPr>
          <w:rFonts w:ascii="Times New Roman" w:hAnsi="Times New Roman"/>
          <w:b w:val="0"/>
          <w:color w:val="000000"/>
          <w:szCs w:val="24"/>
        </w:rPr>
      </w:pPr>
      <w:r w:rsidRPr="005669CE">
        <w:rPr>
          <w:rFonts w:ascii="Times New Roman" w:hAnsi="Times New Roman"/>
          <w:b w:val="0"/>
          <w:bCs/>
          <w:color w:val="000000"/>
          <w:szCs w:val="24"/>
        </w:rPr>
        <w:t xml:space="preserve"> </w:t>
      </w:r>
      <w:r>
        <w:rPr>
          <w:rFonts w:ascii="Times New Roman" w:hAnsi="Times New Roman"/>
          <w:b w:val="0"/>
          <w:color w:val="000000"/>
          <w:szCs w:val="24"/>
        </w:rPr>
        <w:t>8</w:t>
      </w:r>
      <w:r w:rsidRPr="005669CE">
        <w:rPr>
          <w:rFonts w:ascii="Times New Roman" w:hAnsi="Times New Roman"/>
          <w:b w:val="0"/>
          <w:color w:val="000000"/>
          <w:szCs w:val="24"/>
        </w:rPr>
        <w:t>. Строк та порядок подання звітності визначено підпунктом 266.7.5 пункту 266.7 статті 266 Податкового кодексу України.</w:t>
      </w:r>
    </w:p>
    <w:p w:rsidR="0002648E" w:rsidRPr="003C1C20" w:rsidRDefault="0002648E" w:rsidP="00586C14">
      <w:pPr>
        <w:rPr>
          <w:color w:val="000000"/>
        </w:rPr>
      </w:pPr>
    </w:p>
    <w:p w:rsidR="0002648E" w:rsidRDefault="0002648E" w:rsidP="005F0ADF">
      <w:pPr>
        <w:rPr>
          <w:lang w:val="uk-UA"/>
        </w:rPr>
      </w:pPr>
      <w:r>
        <w:t xml:space="preserve">    </w:t>
      </w:r>
    </w:p>
    <w:p w:rsidR="0002648E" w:rsidRPr="00B97012" w:rsidRDefault="0002648E" w:rsidP="005F0ADF">
      <w:pPr>
        <w:rPr>
          <w:rFonts w:ascii="Cambria" w:hAnsi="Cambria"/>
          <w:b/>
          <w:bCs/>
          <w:i/>
          <w:iCs/>
          <w:color w:val="000000"/>
          <w:spacing w:val="-4"/>
          <w:lang w:val="uk-UA"/>
        </w:rPr>
      </w:pPr>
    </w:p>
    <w:p w:rsidR="0002648E" w:rsidRPr="005F0ADF" w:rsidRDefault="0002648E" w:rsidP="00586C14">
      <w:r>
        <w:rPr>
          <w:b/>
        </w:rPr>
        <w:t xml:space="preserve">                   </w:t>
      </w:r>
      <w:r w:rsidRPr="005F0ADF">
        <w:t>Секретар с</w:t>
      </w:r>
      <w:r w:rsidRPr="005F0ADF">
        <w:rPr>
          <w:lang w:val="uk-UA"/>
        </w:rPr>
        <w:t xml:space="preserve">елищної </w:t>
      </w:r>
      <w:r w:rsidRPr="005F0ADF">
        <w:t xml:space="preserve"> ради                                                        С.А. Година</w:t>
      </w: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Default="0002648E" w:rsidP="00586C14">
      <w:pPr>
        <w:jc w:val="center"/>
        <w:rPr>
          <w:b/>
          <w:lang w:val="uk-UA"/>
        </w:rPr>
      </w:pPr>
    </w:p>
    <w:p w:rsidR="0002648E" w:rsidRPr="005F0ADF" w:rsidRDefault="0002648E" w:rsidP="00586C14">
      <w:pPr>
        <w:jc w:val="center"/>
        <w:rPr>
          <w:b/>
          <w:lang w:val="uk-UA"/>
        </w:rPr>
      </w:pPr>
    </w:p>
    <w:p w:rsidR="0002648E" w:rsidRDefault="0002648E" w:rsidP="005F0ADF">
      <w:pPr>
        <w:jc w:val="right"/>
        <w:rPr>
          <w:sz w:val="28"/>
          <w:szCs w:val="28"/>
          <w:lang w:val="uk-UA"/>
        </w:rPr>
      </w:pPr>
      <w:r>
        <w:rPr>
          <w:sz w:val="28"/>
          <w:szCs w:val="28"/>
          <w:lang w:val="uk-UA"/>
        </w:rPr>
        <w:t xml:space="preserve">Додаток 2.1 </w:t>
      </w:r>
    </w:p>
    <w:p w:rsidR="0002648E" w:rsidRDefault="0002648E" w:rsidP="005F0ADF">
      <w:pPr>
        <w:pStyle w:val="NoSpacing"/>
        <w:jc w:val="right"/>
        <w:rPr>
          <w:rFonts w:ascii="Times New Roman" w:hAnsi="Times New Roman" w:cs="Times New Roman"/>
          <w:sz w:val="24"/>
          <w:szCs w:val="24"/>
        </w:rPr>
      </w:pPr>
      <w:r>
        <w:rPr>
          <w:rFonts w:ascii="Times New Roman" w:hAnsi="Times New Roman" w:cs="Times New Roman"/>
          <w:sz w:val="24"/>
          <w:szCs w:val="24"/>
        </w:rPr>
        <w:t>ЗАТВЕРДЖЕНО</w:t>
      </w:r>
    </w:p>
    <w:p w:rsidR="0002648E" w:rsidRDefault="0002648E" w:rsidP="00E4072D">
      <w:pPr>
        <w:pStyle w:val="a"/>
        <w:jc w:val="right"/>
        <w:rPr>
          <w:rFonts w:ascii="Times New Roman" w:hAnsi="Times New Roman" w:cs="Times New Roman"/>
          <w:sz w:val="24"/>
          <w:szCs w:val="24"/>
        </w:rPr>
      </w:pPr>
      <w:r>
        <w:rPr>
          <w:rFonts w:ascii="Times New Roman" w:hAnsi="Times New Roman" w:cs="Times New Roman"/>
          <w:sz w:val="24"/>
          <w:szCs w:val="24"/>
        </w:rPr>
        <w:t>Рішенням пʼятої позачергової сесії</w:t>
      </w:r>
    </w:p>
    <w:p w:rsidR="0002648E" w:rsidRDefault="0002648E" w:rsidP="00E4072D">
      <w:pPr>
        <w:pStyle w:val="NoSpacing"/>
        <w:jc w:val="right"/>
        <w:rPr>
          <w:rFonts w:ascii="Times New Roman" w:hAnsi="Times New Roman" w:cs="Times New Roman"/>
          <w:sz w:val="24"/>
          <w:szCs w:val="24"/>
        </w:rPr>
      </w:pPr>
      <w:r>
        <w:rPr>
          <w:rFonts w:ascii="Times New Roman" w:hAnsi="Times New Roman" w:cs="Times New Roman"/>
          <w:sz w:val="24"/>
          <w:szCs w:val="24"/>
        </w:rPr>
        <w:t xml:space="preserve">сьомого скликання </w:t>
      </w:r>
    </w:p>
    <w:p w:rsidR="0002648E" w:rsidRDefault="0002648E" w:rsidP="005F0ADF">
      <w:pPr>
        <w:pStyle w:val="NoSpacing"/>
        <w:jc w:val="right"/>
        <w:rPr>
          <w:rFonts w:ascii="Times New Roman" w:hAnsi="Times New Roman" w:cs="Times New Roman"/>
          <w:sz w:val="24"/>
          <w:szCs w:val="24"/>
        </w:rPr>
      </w:pPr>
      <w:r>
        <w:rPr>
          <w:rFonts w:ascii="Times New Roman" w:hAnsi="Times New Roman" w:cs="Times New Roman"/>
          <w:sz w:val="24"/>
          <w:szCs w:val="24"/>
        </w:rPr>
        <w:t>Машівської селищної ради</w:t>
      </w:r>
    </w:p>
    <w:p w:rsidR="0002648E" w:rsidRDefault="0002648E" w:rsidP="005F0ADF">
      <w:pPr>
        <w:pStyle w:val="NoSpacing"/>
        <w:jc w:val="right"/>
        <w:rPr>
          <w:rFonts w:ascii="Times New Roman" w:hAnsi="Times New Roman" w:cs="Times New Roman"/>
          <w:sz w:val="24"/>
          <w:szCs w:val="24"/>
        </w:rPr>
      </w:pPr>
      <w:r>
        <w:rPr>
          <w:rFonts w:ascii="Times New Roman" w:hAnsi="Times New Roman" w:cs="Times New Roman"/>
          <w:sz w:val="24"/>
          <w:szCs w:val="24"/>
        </w:rPr>
        <w:t>від 07 червня 2018 р.</w:t>
      </w:r>
    </w:p>
    <w:p w:rsidR="0002648E" w:rsidRDefault="0002648E" w:rsidP="005F0ADF">
      <w:pPr>
        <w:jc w:val="right"/>
        <w:rPr>
          <w:sz w:val="28"/>
          <w:szCs w:val="28"/>
          <w:lang w:val="uk-UA"/>
        </w:rPr>
      </w:pPr>
    </w:p>
    <w:p w:rsidR="0002648E" w:rsidRPr="004B3917" w:rsidRDefault="0002648E" w:rsidP="004B3917">
      <w:pPr>
        <w:spacing w:before="100" w:beforeAutospacing="1" w:after="100" w:afterAutospacing="1"/>
        <w:jc w:val="center"/>
        <w:outlineLvl w:val="2"/>
        <w:rPr>
          <w:b/>
          <w:bCs/>
          <w:sz w:val="27"/>
          <w:szCs w:val="27"/>
          <w:vertAlign w:val="superscript"/>
          <w:lang w:val="uk-UA"/>
        </w:rPr>
      </w:pPr>
      <w:r w:rsidRPr="00D400B4">
        <w:rPr>
          <w:b/>
          <w:bCs/>
          <w:sz w:val="27"/>
          <w:szCs w:val="27"/>
          <w:lang w:val="uk-UA"/>
        </w:rPr>
        <w:t>ПЕРЕЛІК</w:t>
      </w:r>
      <w:r w:rsidRPr="00D400B4">
        <w:rPr>
          <w:b/>
          <w:bCs/>
          <w:sz w:val="27"/>
          <w:szCs w:val="27"/>
          <w:lang w:val="uk-UA"/>
        </w:rPr>
        <w:br/>
        <w:t xml:space="preserve">пільг для фізичних та юридичних осіб, наданих відповідно до </w:t>
      </w:r>
      <w:hyperlink r:id="rId5" w:tgtFrame="_top" w:history="1">
        <w:r w:rsidRPr="00D400B4">
          <w:rPr>
            <w:rStyle w:val="Hyperlink"/>
            <w:sz w:val="27"/>
            <w:szCs w:val="27"/>
            <w:lang w:val="uk-UA"/>
          </w:rPr>
          <w:t>підпункту 266.4.2 пункту 266.4 статті 266 Податкового кодексу України</w:t>
        </w:r>
      </w:hyperlink>
      <w:r w:rsidRPr="00D400B4">
        <w:rPr>
          <w:b/>
          <w:bCs/>
          <w:sz w:val="27"/>
          <w:szCs w:val="27"/>
          <w:lang w:val="uk-UA"/>
        </w:rPr>
        <w:t>, із сплати податку на нерухоме майно, відмінне від земельної ділянки</w:t>
      </w:r>
    </w:p>
    <w:p w:rsidR="0002648E" w:rsidRDefault="0002648E" w:rsidP="005F0ADF">
      <w:pPr>
        <w:spacing w:before="100" w:beforeAutospacing="1" w:after="100" w:afterAutospacing="1"/>
        <w:jc w:val="center"/>
        <w:outlineLvl w:val="2"/>
        <w:rPr>
          <w:b/>
          <w:bCs/>
          <w:sz w:val="27"/>
          <w:szCs w:val="27"/>
          <w:lang w:val="uk-UA"/>
        </w:rPr>
      </w:pPr>
      <w:r>
        <w:t xml:space="preserve">Пільги встановлюються на </w:t>
      </w:r>
      <w:r>
        <w:rPr>
          <w:lang w:val="uk-UA"/>
        </w:rPr>
        <w:t>2019</w:t>
      </w:r>
      <w:r>
        <w:t xml:space="preserve"> рік та вводяться в дію з </w:t>
      </w:r>
      <w:r>
        <w:rPr>
          <w:lang w:val="uk-UA"/>
        </w:rPr>
        <w:t>01 січня</w:t>
      </w:r>
      <w:r>
        <w:t xml:space="preserve"> 20</w:t>
      </w:r>
      <w:r>
        <w:rPr>
          <w:lang w:val="uk-UA"/>
        </w:rPr>
        <w:t>19</w:t>
      </w:r>
      <w:r>
        <w:t xml:space="preserve"> року</w:t>
      </w:r>
    </w:p>
    <w:p w:rsidR="0002648E" w:rsidRDefault="0002648E" w:rsidP="005F0ADF">
      <w:pPr>
        <w:jc w:val="center"/>
        <w:rPr>
          <w:noProof/>
        </w:rPr>
      </w:pPr>
      <w:r>
        <w:rPr>
          <w:noProof/>
        </w:rPr>
        <w:t>Н</w:t>
      </w:r>
      <w:r w:rsidRPr="00954E56">
        <w:rPr>
          <w:noProof/>
        </w:rPr>
        <w:t xml:space="preserve">аселені </w:t>
      </w:r>
      <w:r>
        <w:rPr>
          <w:noProof/>
        </w:rPr>
        <w:t>пункти Машівської селищної ради</w:t>
      </w:r>
      <w:r w:rsidRPr="00954E56">
        <w:rPr>
          <w:noProof/>
        </w:rPr>
        <w:t>, на які поширюється дія рішення ради:</w:t>
      </w:r>
      <w:r>
        <w:rPr>
          <w:noProof/>
        </w:rPr>
        <w:t xml:space="preserve"> </w:t>
      </w:r>
    </w:p>
    <w:p w:rsidR="0002648E" w:rsidRDefault="0002648E" w:rsidP="005F0ADF">
      <w:pPr>
        <w:jc w:val="center"/>
        <w:rPr>
          <w:lang w:val="uk-UA"/>
        </w:rPr>
      </w:pPr>
      <w:r>
        <w:rPr>
          <w:noProof/>
        </w:rPr>
        <w:t xml:space="preserve">смт. Машівка, села </w:t>
      </w:r>
      <w:r w:rsidRPr="007C272A">
        <w:rPr>
          <w:noProof/>
        </w:rPr>
        <w:t>В</w:t>
      </w:r>
      <w:r w:rsidRPr="007C272A">
        <w:t>ільне, Козельщина, Латишівка, Новий Тагамлик, Огуївка, Селещина, Сухоносівка, Тимченківка</w:t>
      </w:r>
    </w:p>
    <w:p w:rsidR="0002648E" w:rsidRPr="005F0ADF" w:rsidRDefault="0002648E" w:rsidP="005F0ADF">
      <w:pPr>
        <w:jc w:val="center"/>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Look w:val="00A0"/>
      </w:tblPr>
      <w:tblGrid>
        <w:gridCol w:w="1880"/>
        <w:gridCol w:w="1407"/>
        <w:gridCol w:w="1859"/>
        <w:gridCol w:w="1882"/>
        <w:gridCol w:w="2699"/>
      </w:tblGrid>
      <w:tr w:rsidR="0002648E" w:rsidTr="004B3917">
        <w:trPr>
          <w:tblCellSpacing w:w="22" w:type="dxa"/>
        </w:trPr>
        <w:tc>
          <w:tcPr>
            <w:tcW w:w="946" w:type="pct"/>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5669CE">
            <w:pPr>
              <w:spacing w:before="100" w:beforeAutospacing="1" w:after="100" w:afterAutospacing="1"/>
            </w:pPr>
            <w:r>
              <w:t>Код області</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5669CE">
            <w:pPr>
              <w:spacing w:before="100" w:beforeAutospacing="1" w:after="100" w:afterAutospacing="1"/>
            </w:pPr>
            <w:r>
              <w:t>Код району</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5669CE">
            <w:pPr>
              <w:spacing w:before="100" w:beforeAutospacing="1" w:after="100" w:afterAutospacing="1"/>
            </w:pPr>
            <w:r>
              <w:t>Код згідно з КОАТУУ</w:t>
            </w:r>
          </w:p>
        </w:tc>
        <w:tc>
          <w:tcPr>
            <w:tcW w:w="2285" w:type="pct"/>
            <w:gridSpan w:val="2"/>
            <w:tcBorders>
              <w:top w:val="outset" w:sz="6" w:space="0" w:color="auto"/>
              <w:left w:val="outset" w:sz="6" w:space="0" w:color="auto"/>
              <w:bottom w:val="outset" w:sz="6" w:space="0" w:color="auto"/>
            </w:tcBorders>
            <w:tcMar>
              <w:top w:w="15" w:type="dxa"/>
              <w:left w:w="15" w:type="dxa"/>
              <w:bottom w:w="15" w:type="dxa"/>
              <w:right w:w="15" w:type="dxa"/>
            </w:tcMar>
          </w:tcPr>
          <w:p w:rsidR="0002648E" w:rsidRPr="005F0ADF" w:rsidRDefault="0002648E" w:rsidP="005669CE">
            <w:pPr>
              <w:spacing w:before="100" w:beforeAutospacing="1" w:after="100" w:afterAutospacing="1"/>
              <w:rPr>
                <w:lang w:val="uk-UA"/>
              </w:rPr>
            </w:pPr>
            <w:r>
              <w:rPr>
                <w:lang w:val="uk-UA"/>
              </w:rPr>
              <w:t>Машівська селищна рада</w:t>
            </w:r>
          </w:p>
        </w:tc>
      </w:tr>
      <w:tr w:rsidR="0002648E" w:rsidTr="004B3917">
        <w:trPr>
          <w:tblCellSpacing w:w="22" w:type="dxa"/>
        </w:trPr>
        <w:tc>
          <w:tcPr>
            <w:tcW w:w="3560" w:type="pct"/>
            <w:gridSpan w:val="4"/>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5669CE">
            <w:pPr>
              <w:spacing w:before="100" w:beforeAutospacing="1" w:after="100" w:afterAutospacing="1"/>
            </w:pPr>
            <w:r>
              <w:t>Група платників, категорія/класифікація будівель та споруд</w:t>
            </w:r>
          </w:p>
        </w:tc>
        <w:tc>
          <w:tcPr>
            <w:tcW w:w="1372" w:type="pct"/>
            <w:tcBorders>
              <w:top w:val="outset" w:sz="6" w:space="0" w:color="auto"/>
              <w:left w:val="outset" w:sz="6" w:space="0" w:color="auto"/>
              <w:bottom w:val="outset" w:sz="6" w:space="0" w:color="auto"/>
            </w:tcBorders>
            <w:tcMar>
              <w:top w:w="15" w:type="dxa"/>
              <w:left w:w="15" w:type="dxa"/>
              <w:bottom w:w="15" w:type="dxa"/>
              <w:right w:w="15" w:type="dxa"/>
            </w:tcMar>
          </w:tcPr>
          <w:p w:rsidR="0002648E" w:rsidRDefault="0002648E" w:rsidP="005669CE">
            <w:pPr>
              <w:spacing w:before="100" w:beforeAutospacing="1" w:after="100" w:afterAutospacing="1"/>
            </w:pPr>
            <w:r>
              <w:t>Розмір пільги (відсотків суми податкового зобов'язання за рік)</w:t>
            </w:r>
          </w:p>
        </w:tc>
      </w:tr>
      <w:tr w:rsidR="0002648E" w:rsidTr="004B3917">
        <w:trPr>
          <w:tblCellSpacing w:w="22" w:type="dxa"/>
        </w:trPr>
        <w:tc>
          <w:tcPr>
            <w:tcW w:w="3560" w:type="pct"/>
            <w:gridSpan w:val="4"/>
            <w:tcBorders>
              <w:top w:val="outset" w:sz="6" w:space="0" w:color="auto"/>
              <w:bottom w:val="outset" w:sz="6" w:space="0" w:color="auto"/>
              <w:right w:val="outset" w:sz="6" w:space="0" w:color="auto"/>
            </w:tcBorders>
            <w:tcMar>
              <w:top w:w="15" w:type="dxa"/>
              <w:left w:w="15" w:type="dxa"/>
              <w:bottom w:w="15" w:type="dxa"/>
              <w:right w:w="15" w:type="dxa"/>
            </w:tcMar>
          </w:tcPr>
          <w:p w:rsidR="0002648E" w:rsidRPr="00A70A0A" w:rsidRDefault="0002648E" w:rsidP="005669CE">
            <w:pPr>
              <w:pStyle w:val="Heading2"/>
              <w:spacing w:line="228" w:lineRule="auto"/>
              <w:rPr>
                <w:b w:val="0"/>
                <w:spacing w:val="-4"/>
                <w:sz w:val="24"/>
                <w:szCs w:val="24"/>
                <w:lang w:val="uk-UA"/>
              </w:rPr>
            </w:pPr>
            <w:r>
              <w:rPr>
                <w:b w:val="0"/>
                <w:spacing w:val="-4"/>
                <w:sz w:val="24"/>
                <w:szCs w:val="24"/>
                <w:lang w:val="uk-UA"/>
              </w:rPr>
              <w:t xml:space="preserve">Фізичні особи / </w:t>
            </w:r>
            <w:r w:rsidRPr="000B4562">
              <w:rPr>
                <w:b w:val="0"/>
                <w:spacing w:val="-4"/>
                <w:sz w:val="24"/>
                <w:szCs w:val="24"/>
                <w:lang w:val="uk-UA"/>
              </w:rPr>
              <w:t>Об’єкти житлової неру</w:t>
            </w:r>
            <w:r>
              <w:rPr>
                <w:b w:val="0"/>
                <w:spacing w:val="-4"/>
                <w:sz w:val="24"/>
                <w:szCs w:val="24"/>
                <w:lang w:val="uk-UA"/>
              </w:rPr>
              <w:t>хомості, господарських (присадибних) будівель  (</w:t>
            </w:r>
            <w:r w:rsidRPr="00EB0D99">
              <w:rPr>
                <w:b w:val="0"/>
                <w:color w:val="000000"/>
                <w:spacing w:val="-4"/>
                <w:sz w:val="24"/>
                <w:szCs w:val="24"/>
              </w:rPr>
              <w:t xml:space="preserve">допоміжні (нежитлові) приміщення, до яких належать сараї, хліви, гаражі, літні кухні, майстерні, вбиральні, погреби, навіси, котельні, бойлерні, </w:t>
            </w:r>
            <w:r>
              <w:rPr>
                <w:b w:val="0"/>
                <w:color w:val="000000"/>
                <w:spacing w:val="-4"/>
                <w:sz w:val="24"/>
                <w:szCs w:val="24"/>
              </w:rPr>
              <w:t>трансформаторні підстанції тощо</w:t>
            </w:r>
            <w:r>
              <w:rPr>
                <w:b w:val="0"/>
                <w:color w:val="000000"/>
                <w:spacing w:val="-4"/>
                <w:sz w:val="24"/>
                <w:szCs w:val="24"/>
                <w:lang w:val="uk-UA"/>
              </w:rPr>
              <w:t>)</w:t>
            </w:r>
            <w:r>
              <w:rPr>
                <w:b w:val="0"/>
                <w:spacing w:val="-4"/>
                <w:sz w:val="24"/>
                <w:szCs w:val="24"/>
                <w:lang w:val="uk-UA"/>
              </w:rPr>
              <w:t>, що розміщені на прибудинкових територіях  житлових будинків та знаходяться у власності фізичних осіб (така пільгова ставка застосовується лише для об’єктів нежитлової нерухомості , які розміщені на одній прибудинковій території)</w:t>
            </w:r>
          </w:p>
        </w:tc>
        <w:tc>
          <w:tcPr>
            <w:tcW w:w="1372"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02648E" w:rsidRPr="00A70A0A" w:rsidRDefault="0002648E" w:rsidP="005669CE">
            <w:pPr>
              <w:pStyle w:val="Heading2"/>
              <w:spacing w:line="228" w:lineRule="auto"/>
              <w:rPr>
                <w:b w:val="0"/>
                <w:spacing w:val="-4"/>
                <w:sz w:val="24"/>
                <w:szCs w:val="24"/>
                <w:lang w:val="uk-UA"/>
              </w:rPr>
            </w:pPr>
            <w:r>
              <w:rPr>
                <w:b w:val="0"/>
                <w:spacing w:val="-4"/>
                <w:sz w:val="24"/>
                <w:szCs w:val="24"/>
                <w:lang w:val="uk-UA"/>
              </w:rPr>
              <w:t xml:space="preserve">             100</w:t>
            </w:r>
          </w:p>
        </w:tc>
      </w:tr>
      <w:tr w:rsidR="0002648E" w:rsidTr="004B3917">
        <w:trPr>
          <w:tblCellSpacing w:w="22" w:type="dxa"/>
        </w:trPr>
        <w:tc>
          <w:tcPr>
            <w:tcW w:w="3560" w:type="pct"/>
            <w:gridSpan w:val="4"/>
            <w:tcBorders>
              <w:top w:val="outset" w:sz="6" w:space="0" w:color="auto"/>
              <w:bottom w:val="outset" w:sz="6" w:space="0" w:color="auto"/>
              <w:right w:val="outset" w:sz="6" w:space="0" w:color="auto"/>
            </w:tcBorders>
            <w:tcMar>
              <w:top w:w="15" w:type="dxa"/>
              <w:left w:w="15" w:type="dxa"/>
              <w:bottom w:w="15" w:type="dxa"/>
              <w:right w:w="15" w:type="dxa"/>
            </w:tcMar>
          </w:tcPr>
          <w:p w:rsidR="0002648E" w:rsidRDefault="0002648E" w:rsidP="005669CE">
            <w:pPr>
              <w:pStyle w:val="Heading2"/>
              <w:spacing w:line="228" w:lineRule="auto"/>
              <w:rPr>
                <w:b w:val="0"/>
                <w:spacing w:val="-4"/>
                <w:sz w:val="24"/>
                <w:szCs w:val="24"/>
              </w:rPr>
            </w:pPr>
          </w:p>
        </w:tc>
        <w:tc>
          <w:tcPr>
            <w:tcW w:w="1372" w:type="pct"/>
            <w:tcBorders>
              <w:top w:val="outset" w:sz="6" w:space="0" w:color="auto"/>
              <w:left w:val="outset" w:sz="6" w:space="0" w:color="auto"/>
              <w:bottom w:val="outset" w:sz="6" w:space="0" w:color="auto"/>
            </w:tcBorders>
            <w:tcMar>
              <w:top w:w="15" w:type="dxa"/>
              <w:left w:w="15" w:type="dxa"/>
              <w:bottom w:w="15" w:type="dxa"/>
              <w:right w:w="15" w:type="dxa"/>
            </w:tcMar>
            <w:vAlign w:val="center"/>
          </w:tcPr>
          <w:p w:rsidR="0002648E" w:rsidRDefault="0002648E" w:rsidP="005669CE">
            <w:pPr>
              <w:pStyle w:val="Heading2"/>
              <w:spacing w:line="228" w:lineRule="auto"/>
              <w:rPr>
                <w:b w:val="0"/>
                <w:spacing w:val="-4"/>
                <w:sz w:val="24"/>
                <w:szCs w:val="24"/>
              </w:rPr>
            </w:pPr>
          </w:p>
        </w:tc>
      </w:tr>
    </w:tbl>
    <w:p w:rsidR="0002648E" w:rsidRDefault="0002648E" w:rsidP="004B3917">
      <w:pPr>
        <w:pStyle w:val="BodyText"/>
        <w:tabs>
          <w:tab w:val="num" w:pos="567"/>
        </w:tabs>
        <w:jc w:val="both"/>
        <w:rPr>
          <w:rFonts w:ascii="Times New Roman" w:hAnsi="Times New Roman"/>
          <w:b w:val="0"/>
          <w:bCs/>
          <w:color w:val="000000"/>
          <w:szCs w:val="24"/>
        </w:rPr>
      </w:pPr>
    </w:p>
    <w:p w:rsidR="0002648E" w:rsidRDefault="0002648E" w:rsidP="00586C14">
      <w:pPr>
        <w:pStyle w:val="NormalWeb"/>
        <w:widowControl w:val="0"/>
        <w:rPr>
          <w:color w:val="000000"/>
          <w:lang w:val="uk-UA"/>
        </w:rPr>
      </w:pPr>
    </w:p>
    <w:p w:rsidR="0002648E" w:rsidRDefault="0002648E" w:rsidP="00586C14">
      <w:pPr>
        <w:pStyle w:val="NormalWeb"/>
        <w:widowControl w:val="0"/>
        <w:rPr>
          <w:color w:val="000000"/>
          <w:lang w:val="uk-UA"/>
        </w:rPr>
      </w:pPr>
      <w:r>
        <w:rPr>
          <w:color w:val="000000"/>
          <w:lang w:val="uk-UA"/>
        </w:rPr>
        <w:t xml:space="preserve">           Секретар селищної ради                                                                    С.А. Година</w:t>
      </w:r>
    </w:p>
    <w:p w:rsidR="0002648E" w:rsidRDefault="0002648E" w:rsidP="00586C14">
      <w:pPr>
        <w:pStyle w:val="NormalWeb"/>
        <w:widowControl w:val="0"/>
        <w:rPr>
          <w:color w:val="000000"/>
          <w:lang w:val="uk-UA"/>
        </w:rPr>
      </w:pPr>
    </w:p>
    <w:p w:rsidR="0002648E" w:rsidRDefault="0002648E" w:rsidP="00586C14">
      <w:pPr>
        <w:pStyle w:val="NormalWeb"/>
        <w:widowControl w:val="0"/>
        <w:rPr>
          <w:color w:val="000000"/>
          <w:lang w:val="uk-UA"/>
        </w:rPr>
      </w:pPr>
    </w:p>
    <w:p w:rsidR="0002648E" w:rsidRDefault="0002648E" w:rsidP="00586C14">
      <w:pPr>
        <w:pStyle w:val="NormalWeb"/>
        <w:widowControl w:val="0"/>
        <w:rPr>
          <w:color w:val="000000"/>
          <w:lang w:val="uk-UA"/>
        </w:rPr>
      </w:pPr>
    </w:p>
    <w:p w:rsidR="0002648E" w:rsidRDefault="0002648E" w:rsidP="00586C14">
      <w:pPr>
        <w:pStyle w:val="NormalWeb"/>
        <w:widowControl w:val="0"/>
        <w:rPr>
          <w:color w:val="000000"/>
          <w:lang w:val="uk-UA"/>
        </w:rPr>
      </w:pPr>
    </w:p>
    <w:p w:rsidR="0002648E" w:rsidRDefault="0002648E" w:rsidP="00586C14">
      <w:pPr>
        <w:pStyle w:val="NormalWeb"/>
        <w:widowControl w:val="0"/>
        <w:rPr>
          <w:color w:val="000000"/>
          <w:lang w:val="uk-UA"/>
        </w:rPr>
      </w:pPr>
    </w:p>
    <w:p w:rsidR="0002648E" w:rsidRPr="004A3806" w:rsidRDefault="0002648E" w:rsidP="005669CE">
      <w:pPr>
        <w:rPr>
          <w:rFonts w:ascii="Cambria" w:hAnsi="Cambria"/>
          <w:b/>
          <w:bCs/>
          <w:i/>
          <w:iCs/>
          <w:color w:val="000000"/>
          <w:spacing w:val="-4"/>
          <w:lang w:val="uk-UA"/>
        </w:rPr>
      </w:pPr>
    </w:p>
    <w:sectPr w:rsidR="0002648E" w:rsidRPr="004A3806" w:rsidSect="005669CE">
      <w:pgSz w:w="11906" w:h="16838"/>
      <w:pgMar w:top="567" w:right="707" w:bottom="567" w:left="16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9436E03"/>
    <w:multiLevelType w:val="multilevel"/>
    <w:tmpl w:val="5650CFE2"/>
    <w:lvl w:ilvl="0">
      <w:start w:val="6"/>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194184B"/>
    <w:multiLevelType w:val="multilevel"/>
    <w:tmpl w:val="2E0E33D8"/>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1E9D28AD"/>
    <w:multiLevelType w:val="hybridMultilevel"/>
    <w:tmpl w:val="C194CE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CB0641"/>
    <w:multiLevelType w:val="hybridMultilevel"/>
    <w:tmpl w:val="5C8CD228"/>
    <w:lvl w:ilvl="0" w:tplc="CFBE282A">
      <w:start w:val="2"/>
      <w:numFmt w:val="decimal"/>
      <w:lvlText w:val="%1."/>
      <w:lvlJc w:val="left"/>
      <w:pPr>
        <w:ind w:left="39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DD15D7E"/>
    <w:multiLevelType w:val="multilevel"/>
    <w:tmpl w:val="EB967FD0"/>
    <w:lvl w:ilvl="0">
      <w:start w:val="1"/>
      <w:numFmt w:val="decimal"/>
      <w:lvlText w:val="%1."/>
      <w:lvlJc w:val="left"/>
      <w:pPr>
        <w:ind w:left="450" w:hanging="450"/>
      </w:pPr>
      <w:rPr>
        <w:rFonts w:cs="Times New Roman" w:hint="default"/>
      </w:rPr>
    </w:lvl>
    <w:lvl w:ilvl="1">
      <w:start w:val="1"/>
      <w:numFmt w:val="decimal"/>
      <w:lvlText w:val="%1.%2."/>
      <w:lvlJc w:val="left"/>
      <w:pPr>
        <w:ind w:left="1110" w:hanging="720"/>
      </w:pPr>
      <w:rPr>
        <w:rFonts w:cs="Times New Roman" w:hint="default"/>
      </w:rPr>
    </w:lvl>
    <w:lvl w:ilvl="2">
      <w:start w:val="1"/>
      <w:numFmt w:val="decimal"/>
      <w:lvlText w:val="%1.%2.%3."/>
      <w:lvlJc w:val="left"/>
      <w:pPr>
        <w:ind w:left="150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2640" w:hanging="1080"/>
      </w:pPr>
      <w:rPr>
        <w:rFonts w:cs="Times New Roman" w:hint="default"/>
      </w:rPr>
    </w:lvl>
    <w:lvl w:ilvl="5">
      <w:start w:val="1"/>
      <w:numFmt w:val="decimal"/>
      <w:lvlText w:val="%1.%2.%3.%4.%5.%6."/>
      <w:lvlJc w:val="left"/>
      <w:pPr>
        <w:ind w:left="3390" w:hanging="1440"/>
      </w:pPr>
      <w:rPr>
        <w:rFonts w:cs="Times New Roman" w:hint="default"/>
      </w:rPr>
    </w:lvl>
    <w:lvl w:ilvl="6">
      <w:start w:val="1"/>
      <w:numFmt w:val="decimal"/>
      <w:lvlText w:val="%1.%2.%3.%4.%5.%6.%7."/>
      <w:lvlJc w:val="left"/>
      <w:pPr>
        <w:ind w:left="4140" w:hanging="1800"/>
      </w:pPr>
      <w:rPr>
        <w:rFonts w:cs="Times New Roman" w:hint="default"/>
      </w:rPr>
    </w:lvl>
    <w:lvl w:ilvl="7">
      <w:start w:val="1"/>
      <w:numFmt w:val="decimal"/>
      <w:lvlText w:val="%1.%2.%3.%4.%5.%6.%7.%8."/>
      <w:lvlJc w:val="left"/>
      <w:pPr>
        <w:ind w:left="4530" w:hanging="1800"/>
      </w:pPr>
      <w:rPr>
        <w:rFonts w:cs="Times New Roman" w:hint="default"/>
      </w:rPr>
    </w:lvl>
    <w:lvl w:ilvl="8">
      <w:start w:val="1"/>
      <w:numFmt w:val="decimal"/>
      <w:lvlText w:val="%1.%2.%3.%4.%5.%6.%7.%8.%9."/>
      <w:lvlJc w:val="left"/>
      <w:pPr>
        <w:ind w:left="5280" w:hanging="2160"/>
      </w:pPr>
      <w:rPr>
        <w:rFonts w:cs="Times New Roman" w:hint="default"/>
      </w:rPr>
    </w:lvl>
  </w:abstractNum>
  <w:abstractNum w:abstractNumId="6">
    <w:nsid w:val="39E13C10"/>
    <w:multiLevelType w:val="hybridMultilevel"/>
    <w:tmpl w:val="79D418BC"/>
    <w:lvl w:ilvl="0" w:tplc="B816CC26">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7">
    <w:nsid w:val="482D1D45"/>
    <w:multiLevelType w:val="multilevel"/>
    <w:tmpl w:val="47F4CEF4"/>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8">
    <w:nsid w:val="49D23380"/>
    <w:multiLevelType w:val="hybridMultilevel"/>
    <w:tmpl w:val="FB3A9E4E"/>
    <w:lvl w:ilvl="0" w:tplc="C5945D0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4A15407B"/>
    <w:multiLevelType w:val="hybridMultilevel"/>
    <w:tmpl w:val="AD2E71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0306981"/>
    <w:multiLevelType w:val="multilevel"/>
    <w:tmpl w:val="B120C3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6717297F"/>
    <w:multiLevelType w:val="hybridMultilevel"/>
    <w:tmpl w:val="73A875C8"/>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70E24C83"/>
    <w:multiLevelType w:val="hybridMultilevel"/>
    <w:tmpl w:val="2CEA5098"/>
    <w:lvl w:ilvl="0" w:tplc="38DA6C74">
      <w:start w:val="4"/>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2"/>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num>
  <w:num w:numId="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8"/>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489"/>
    <w:rsid w:val="0002648E"/>
    <w:rsid w:val="00075BD5"/>
    <w:rsid w:val="000771B7"/>
    <w:rsid w:val="00080BDB"/>
    <w:rsid w:val="000B4562"/>
    <w:rsid w:val="001072D4"/>
    <w:rsid w:val="0011242D"/>
    <w:rsid w:val="001219B6"/>
    <w:rsid w:val="001558F1"/>
    <w:rsid w:val="001930C2"/>
    <w:rsid w:val="00197422"/>
    <w:rsid w:val="001C3BD8"/>
    <w:rsid w:val="001D1CD0"/>
    <w:rsid w:val="001F5F9F"/>
    <w:rsid w:val="002061E4"/>
    <w:rsid w:val="00252489"/>
    <w:rsid w:val="0027435A"/>
    <w:rsid w:val="00275389"/>
    <w:rsid w:val="0031436D"/>
    <w:rsid w:val="00360FE7"/>
    <w:rsid w:val="003657A6"/>
    <w:rsid w:val="003739E8"/>
    <w:rsid w:val="003C1C20"/>
    <w:rsid w:val="00421AB9"/>
    <w:rsid w:val="004456CC"/>
    <w:rsid w:val="00483B2A"/>
    <w:rsid w:val="004A3806"/>
    <w:rsid w:val="004B3917"/>
    <w:rsid w:val="004B7754"/>
    <w:rsid w:val="0050233F"/>
    <w:rsid w:val="005669CE"/>
    <w:rsid w:val="00586C14"/>
    <w:rsid w:val="005E4650"/>
    <w:rsid w:val="005F0ADF"/>
    <w:rsid w:val="005F1E99"/>
    <w:rsid w:val="00610991"/>
    <w:rsid w:val="00633ED9"/>
    <w:rsid w:val="00656ECA"/>
    <w:rsid w:val="00680631"/>
    <w:rsid w:val="00685BED"/>
    <w:rsid w:val="006B4123"/>
    <w:rsid w:val="006E7977"/>
    <w:rsid w:val="00712383"/>
    <w:rsid w:val="007C272A"/>
    <w:rsid w:val="007E5756"/>
    <w:rsid w:val="00862889"/>
    <w:rsid w:val="00893671"/>
    <w:rsid w:val="008A7683"/>
    <w:rsid w:val="008B2DE9"/>
    <w:rsid w:val="00954E56"/>
    <w:rsid w:val="00971F2A"/>
    <w:rsid w:val="0099207E"/>
    <w:rsid w:val="009A20DD"/>
    <w:rsid w:val="009F1678"/>
    <w:rsid w:val="00A31324"/>
    <w:rsid w:val="00A65905"/>
    <w:rsid w:val="00A70A0A"/>
    <w:rsid w:val="00A96893"/>
    <w:rsid w:val="00AB7D11"/>
    <w:rsid w:val="00AD1EF5"/>
    <w:rsid w:val="00B27BBF"/>
    <w:rsid w:val="00B703AC"/>
    <w:rsid w:val="00B97012"/>
    <w:rsid w:val="00C4273F"/>
    <w:rsid w:val="00C74334"/>
    <w:rsid w:val="00CE2B84"/>
    <w:rsid w:val="00CF0BE2"/>
    <w:rsid w:val="00CF5102"/>
    <w:rsid w:val="00D07C44"/>
    <w:rsid w:val="00D400B4"/>
    <w:rsid w:val="00D42984"/>
    <w:rsid w:val="00D565F2"/>
    <w:rsid w:val="00E4072D"/>
    <w:rsid w:val="00EB0386"/>
    <w:rsid w:val="00EB0D99"/>
    <w:rsid w:val="00EB501E"/>
    <w:rsid w:val="00EE183B"/>
    <w:rsid w:val="00FB10E1"/>
    <w:rsid w:val="00FE38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489"/>
    <w:rPr>
      <w:rFonts w:ascii="Times New Roman" w:eastAsia="Times New Roman" w:hAnsi="Times New Roman"/>
      <w:sz w:val="24"/>
      <w:szCs w:val="24"/>
    </w:rPr>
  </w:style>
  <w:style w:type="paragraph" w:styleId="Heading1">
    <w:name w:val="heading 1"/>
    <w:basedOn w:val="Normal"/>
    <w:link w:val="Heading1Char"/>
    <w:uiPriority w:val="99"/>
    <w:qFormat/>
    <w:rsid w:val="0025248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252489"/>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252489"/>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9"/>
    <w:qFormat/>
    <w:rsid w:val="00586C14"/>
    <w:pPr>
      <w:keepNext/>
      <w:keepLines/>
      <w:spacing w:before="20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2489"/>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252489"/>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semiHidden/>
    <w:locked/>
    <w:rsid w:val="00252489"/>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semiHidden/>
    <w:locked/>
    <w:rsid w:val="00586C14"/>
    <w:rPr>
      <w:rFonts w:ascii="Cambria" w:hAnsi="Cambria" w:cs="Times New Roman"/>
      <w:b/>
      <w:bCs/>
      <w:i/>
      <w:iCs/>
      <w:color w:val="4F81BD"/>
      <w:sz w:val="24"/>
      <w:szCs w:val="24"/>
      <w:lang w:eastAsia="ru-RU"/>
    </w:rPr>
  </w:style>
  <w:style w:type="paragraph" w:styleId="NormalWe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252489"/>
    <w:pPr>
      <w:spacing w:before="100" w:beforeAutospacing="1" w:after="100" w:afterAutospacing="1"/>
    </w:pPr>
  </w:style>
  <w:style w:type="paragraph" w:styleId="ListParagraph">
    <w:name w:val="List Paragraph"/>
    <w:basedOn w:val="Normal"/>
    <w:uiPriority w:val="99"/>
    <w:qFormat/>
    <w:rsid w:val="00252489"/>
    <w:pPr>
      <w:spacing w:after="200" w:line="276" w:lineRule="auto"/>
      <w:ind w:left="720"/>
      <w:contextualSpacing/>
    </w:pPr>
    <w:rPr>
      <w:rFonts w:ascii="Calibri" w:hAnsi="Calibri"/>
      <w:sz w:val="22"/>
      <w:szCs w:val="22"/>
    </w:rPr>
  </w:style>
  <w:style w:type="character" w:customStyle="1" w:styleId="rvts0">
    <w:name w:val="rvts0"/>
    <w:basedOn w:val="DefaultParagraphFont"/>
    <w:uiPriority w:val="99"/>
    <w:rsid w:val="00252489"/>
    <w:rPr>
      <w:rFonts w:cs="Times New Roman"/>
    </w:rPr>
  </w:style>
  <w:style w:type="character" w:customStyle="1" w:styleId="BalloonTextChar">
    <w:name w:val="Balloon Text Char"/>
    <w:basedOn w:val="DefaultParagraphFont"/>
    <w:link w:val="BalloonText"/>
    <w:uiPriority w:val="99"/>
    <w:semiHidden/>
    <w:locked/>
    <w:rsid w:val="00252489"/>
    <w:rPr>
      <w:rFonts w:ascii="Tahoma" w:hAnsi="Tahoma" w:cs="Tahoma"/>
      <w:sz w:val="16"/>
      <w:szCs w:val="16"/>
      <w:lang w:eastAsia="ru-RU"/>
    </w:rPr>
  </w:style>
  <w:style w:type="paragraph" w:styleId="BalloonText">
    <w:name w:val="Balloon Text"/>
    <w:basedOn w:val="Normal"/>
    <w:link w:val="BalloonTextChar"/>
    <w:uiPriority w:val="99"/>
    <w:semiHidden/>
    <w:rsid w:val="00252489"/>
    <w:rPr>
      <w:rFonts w:ascii="Tahoma" w:hAnsi="Tahoma" w:cs="Tahoma"/>
      <w:sz w:val="16"/>
      <w:szCs w:val="16"/>
    </w:rPr>
  </w:style>
  <w:style w:type="character" w:customStyle="1" w:styleId="BalloonTextChar1">
    <w:name w:val="Balloon Text Char1"/>
    <w:basedOn w:val="DefaultParagraphFont"/>
    <w:link w:val="BalloonText"/>
    <w:uiPriority w:val="99"/>
    <w:semiHidden/>
    <w:rsid w:val="00BC2FA7"/>
    <w:rPr>
      <w:rFonts w:ascii="Times New Roman" w:eastAsia="Times New Roman" w:hAnsi="Times New Roman"/>
      <w:sz w:val="0"/>
      <w:szCs w:val="0"/>
    </w:rPr>
  </w:style>
  <w:style w:type="paragraph" w:styleId="NoSpacing">
    <w:name w:val="No Spacing"/>
    <w:uiPriority w:val="99"/>
    <w:qFormat/>
    <w:rsid w:val="00252489"/>
    <w:pPr>
      <w:suppressAutoHyphens/>
    </w:pPr>
    <w:rPr>
      <w:rFonts w:eastAsia="Times New Roman" w:cs="Calibri"/>
      <w:lang w:val="uk-UA" w:eastAsia="ar-SA"/>
    </w:rPr>
  </w:style>
  <w:style w:type="paragraph" w:customStyle="1" w:styleId="rvps2">
    <w:name w:val="rvps2"/>
    <w:basedOn w:val="Normal"/>
    <w:uiPriority w:val="99"/>
    <w:rsid w:val="00252489"/>
    <w:pPr>
      <w:spacing w:before="100" w:beforeAutospacing="1" w:after="100" w:afterAutospacing="1"/>
    </w:pPr>
  </w:style>
  <w:style w:type="character" w:styleId="Hyperlink">
    <w:name w:val="Hyperlink"/>
    <w:basedOn w:val="DefaultParagraphFont"/>
    <w:uiPriority w:val="99"/>
    <w:rsid w:val="00252489"/>
    <w:rPr>
      <w:rFonts w:cs="Times New Roman"/>
      <w:color w:val="0000FF"/>
      <w:u w:val="single"/>
    </w:rPr>
  </w:style>
  <w:style w:type="paragraph" w:customStyle="1" w:styleId="tc">
    <w:name w:val="tc"/>
    <w:basedOn w:val="Normal"/>
    <w:uiPriority w:val="99"/>
    <w:rsid w:val="00252489"/>
    <w:pPr>
      <w:spacing w:before="100" w:beforeAutospacing="1" w:after="100" w:afterAutospacing="1"/>
    </w:pPr>
  </w:style>
  <w:style w:type="paragraph" w:customStyle="1" w:styleId="tj">
    <w:name w:val="tj"/>
    <w:basedOn w:val="Normal"/>
    <w:uiPriority w:val="99"/>
    <w:rsid w:val="00252489"/>
    <w:pPr>
      <w:spacing w:before="100" w:beforeAutospacing="1" w:after="100" w:afterAutospacing="1"/>
    </w:pPr>
  </w:style>
  <w:style w:type="paragraph" w:customStyle="1" w:styleId="tl">
    <w:name w:val="tl"/>
    <w:basedOn w:val="Normal"/>
    <w:uiPriority w:val="99"/>
    <w:rsid w:val="00252489"/>
    <w:pPr>
      <w:spacing w:before="100" w:beforeAutospacing="1" w:after="100" w:afterAutospacing="1"/>
    </w:pPr>
  </w:style>
  <w:style w:type="character" w:customStyle="1" w:styleId="ligalogotypcellblock">
    <w:name w:val="ligalogotyp_cellblock"/>
    <w:basedOn w:val="DefaultParagraphFont"/>
    <w:uiPriority w:val="99"/>
    <w:rsid w:val="00252489"/>
    <w:rPr>
      <w:rFonts w:cs="Times New Roman"/>
    </w:rPr>
  </w:style>
  <w:style w:type="character" w:customStyle="1" w:styleId="ligalogotypeico">
    <w:name w:val="ligalogotype_ico"/>
    <w:basedOn w:val="DefaultParagraphFont"/>
    <w:uiPriority w:val="99"/>
    <w:rsid w:val="00252489"/>
    <w:rPr>
      <w:rFonts w:cs="Times New Roman"/>
    </w:rPr>
  </w:style>
  <w:style w:type="character" w:customStyle="1" w:styleId="ligalogotypseparator">
    <w:name w:val="ligalogotyp_separator"/>
    <w:basedOn w:val="DefaultParagraphFont"/>
    <w:uiPriority w:val="99"/>
    <w:rsid w:val="00252489"/>
    <w:rPr>
      <w:rFonts w:cs="Times New Roman"/>
    </w:rPr>
  </w:style>
  <w:style w:type="character" w:customStyle="1" w:styleId="ligalogotypetext">
    <w:name w:val="ligalogotype_text"/>
    <w:basedOn w:val="DefaultParagraphFont"/>
    <w:uiPriority w:val="99"/>
    <w:rsid w:val="00252489"/>
    <w:rPr>
      <w:rFonts w:cs="Times New Roman"/>
    </w:rPr>
  </w:style>
  <w:style w:type="character" w:customStyle="1" w:styleId="hide1280">
    <w:name w:val="hide1280"/>
    <w:basedOn w:val="DefaultParagraphFont"/>
    <w:uiPriority w:val="99"/>
    <w:rsid w:val="00252489"/>
    <w:rPr>
      <w:rFonts w:cs="Times New Roman"/>
    </w:rPr>
  </w:style>
  <w:style w:type="character" w:customStyle="1" w:styleId="menuitemtext">
    <w:name w:val="menuitem_text"/>
    <w:basedOn w:val="DefaultParagraphFont"/>
    <w:uiPriority w:val="99"/>
    <w:rsid w:val="00252489"/>
    <w:rPr>
      <w:rFonts w:cs="Times New Roman"/>
    </w:rPr>
  </w:style>
  <w:style w:type="character" w:customStyle="1" w:styleId="ligalogoico-closebutton2outer">
    <w:name w:val="ligalogoico-closebutton2outer"/>
    <w:basedOn w:val="DefaultParagraphFont"/>
    <w:uiPriority w:val="99"/>
    <w:rsid w:val="00252489"/>
    <w:rPr>
      <w:rFonts w:cs="Times New Roman"/>
    </w:rPr>
  </w:style>
  <w:style w:type="character" w:customStyle="1" w:styleId="ligalogoico-closebutton2">
    <w:name w:val="ligalogoico-closebutton2"/>
    <w:basedOn w:val="DefaultParagraphFont"/>
    <w:uiPriority w:val="99"/>
    <w:rsid w:val="00252489"/>
    <w:rPr>
      <w:rFonts w:cs="Times New Roman"/>
    </w:rPr>
  </w:style>
  <w:style w:type="character" w:customStyle="1" w:styleId="fs2">
    <w:name w:val="fs2"/>
    <w:basedOn w:val="DefaultParagraphFont"/>
    <w:uiPriority w:val="99"/>
    <w:rsid w:val="00252489"/>
    <w:rPr>
      <w:rFonts w:cs="Times New Roman"/>
    </w:rPr>
  </w:style>
  <w:style w:type="character" w:customStyle="1" w:styleId="footerinfo-logoimage">
    <w:name w:val="footerinfo-logoimage"/>
    <w:basedOn w:val="DefaultParagraphFont"/>
    <w:uiPriority w:val="99"/>
    <w:rsid w:val="00252489"/>
    <w:rPr>
      <w:rFonts w:cs="Times New Roman"/>
    </w:rPr>
  </w:style>
  <w:style w:type="character" w:customStyle="1" w:styleId="footerinfophone-ico">
    <w:name w:val="footerinfo_phone-ico"/>
    <w:basedOn w:val="DefaultParagraphFont"/>
    <w:uiPriority w:val="99"/>
    <w:rsid w:val="00252489"/>
    <w:rPr>
      <w:rFonts w:cs="Times New Roman"/>
    </w:rPr>
  </w:style>
  <w:style w:type="character" w:customStyle="1" w:styleId="footerinfophone-text">
    <w:name w:val="footerinfo_phone-text"/>
    <w:basedOn w:val="DefaultParagraphFont"/>
    <w:uiPriority w:val="99"/>
    <w:rsid w:val="00252489"/>
    <w:rPr>
      <w:rFonts w:cs="Times New Roman"/>
    </w:rPr>
  </w:style>
  <w:style w:type="character" w:customStyle="1" w:styleId="apple-converted-space">
    <w:name w:val="apple-converted-space"/>
    <w:basedOn w:val="DefaultParagraphFont"/>
    <w:uiPriority w:val="99"/>
    <w:rsid w:val="00252489"/>
    <w:rPr>
      <w:rFonts w:cs="Times New Roman"/>
    </w:rPr>
  </w:style>
  <w:style w:type="character" w:styleId="Strong">
    <w:name w:val="Strong"/>
    <w:basedOn w:val="DefaultParagraphFont"/>
    <w:uiPriority w:val="99"/>
    <w:qFormat/>
    <w:rsid w:val="00252489"/>
    <w:rPr>
      <w:rFonts w:cs="Times New Roman"/>
      <w:b/>
      <w:bCs/>
    </w:rPr>
  </w:style>
  <w:style w:type="character" w:styleId="FollowedHyperlink">
    <w:name w:val="FollowedHyperlink"/>
    <w:basedOn w:val="DefaultParagraphFont"/>
    <w:uiPriority w:val="99"/>
    <w:semiHidden/>
    <w:rsid w:val="00FE3803"/>
    <w:rPr>
      <w:rFonts w:cs="Times New Roman"/>
      <w:color w:val="800080"/>
      <w:u w:val="single"/>
    </w:rPr>
  </w:style>
  <w:style w:type="paragraph" w:styleId="BodyText">
    <w:name w:val="Body Text"/>
    <w:basedOn w:val="Normal"/>
    <w:link w:val="BodyTextChar"/>
    <w:uiPriority w:val="99"/>
    <w:rsid w:val="00586C14"/>
    <w:pPr>
      <w:jc w:val="center"/>
    </w:pPr>
    <w:rPr>
      <w:rFonts w:ascii="Times New Roman CYR" w:hAnsi="Times New Roman CYR"/>
      <w:b/>
      <w:szCs w:val="20"/>
      <w:lang w:val="uk-UA"/>
    </w:rPr>
  </w:style>
  <w:style w:type="character" w:customStyle="1" w:styleId="BodyTextChar">
    <w:name w:val="Body Text Char"/>
    <w:basedOn w:val="DefaultParagraphFont"/>
    <w:link w:val="BodyText"/>
    <w:uiPriority w:val="99"/>
    <w:locked/>
    <w:rsid w:val="00586C14"/>
    <w:rPr>
      <w:rFonts w:ascii="Times New Roman CYR" w:hAnsi="Times New Roman CYR" w:cs="Times New Roman"/>
      <w:b/>
      <w:sz w:val="20"/>
      <w:szCs w:val="20"/>
      <w:lang w:val="uk-UA" w:eastAsia="ru-RU"/>
    </w:rPr>
  </w:style>
  <w:style w:type="character" w:customStyle="1" w:styleId="NormalWebChar">
    <w:name w:val="Normal (Web) Char"/>
    <w:aliases w:val="Знак Char,Обычный (веб) 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Знак1 Знак2 Char"/>
    <w:link w:val="NormalWeb"/>
    <w:uiPriority w:val="99"/>
    <w:locked/>
    <w:rsid w:val="00586C14"/>
    <w:rPr>
      <w:rFonts w:ascii="Times New Roman" w:hAnsi="Times New Roman"/>
      <w:sz w:val="24"/>
      <w:lang w:eastAsia="ru-RU"/>
    </w:rPr>
  </w:style>
  <w:style w:type="paragraph" w:customStyle="1" w:styleId="a">
    <w:name w:val="Без интервала"/>
    <w:uiPriority w:val="99"/>
    <w:rsid w:val="00E4072D"/>
    <w:pPr>
      <w:suppressAutoHyphens/>
    </w:pPr>
    <w:rPr>
      <w:rFonts w:cs="Calibri"/>
      <w:lang w:val="uk-UA" w:eastAsia="ar-SA"/>
    </w:rPr>
  </w:style>
</w:styles>
</file>

<file path=word/webSettings.xml><?xml version="1.0" encoding="utf-8"?>
<w:webSettings xmlns:r="http://schemas.openxmlformats.org/officeDocument/2006/relationships" xmlns:w="http://schemas.openxmlformats.org/wordprocessingml/2006/main">
  <w:divs>
    <w:div w:id="1617054123">
      <w:marLeft w:val="0"/>
      <w:marRight w:val="0"/>
      <w:marTop w:val="0"/>
      <w:marBottom w:val="0"/>
      <w:divBdr>
        <w:top w:val="none" w:sz="0" w:space="0" w:color="auto"/>
        <w:left w:val="none" w:sz="0" w:space="0" w:color="auto"/>
        <w:bottom w:val="none" w:sz="0" w:space="0" w:color="auto"/>
        <w:right w:val="none" w:sz="0" w:space="0" w:color="auto"/>
      </w:divBdr>
    </w:div>
    <w:div w:id="1617054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T10_2755.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624</TotalTime>
  <Pages>8</Pages>
  <Words>1918</Words>
  <Characters>10937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dc:description/>
  <cp:lastModifiedBy>соколов</cp:lastModifiedBy>
  <cp:revision>24</cp:revision>
  <cp:lastPrinted>2018-06-08T06:53:00Z</cp:lastPrinted>
  <dcterms:created xsi:type="dcterms:W3CDTF">2018-02-19T08:48:00Z</dcterms:created>
  <dcterms:modified xsi:type="dcterms:W3CDTF">2018-06-19T06:34:00Z</dcterms:modified>
</cp:coreProperties>
</file>