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F3" w:rsidRDefault="00B3137C">
      <w:pPr>
        <w:pStyle w:val="1"/>
        <w:ind w:firstLine="0"/>
        <w:jc w:val="center"/>
      </w:pPr>
      <w:r>
        <w:rPr>
          <w:b/>
          <w:bCs/>
        </w:rPr>
        <w:t xml:space="preserve">ДЕРЖАВНА СОЦІАЛЬНА ДОПОМОГА </w:t>
      </w:r>
      <w:r>
        <w:rPr>
          <w:b/>
          <w:bCs/>
        </w:rPr>
        <w:t>МАЛОЗАБЕЗПЕЧЕНИМ СІМ’ЯМ</w:t>
      </w:r>
      <w:r>
        <w:rPr>
          <w:b/>
          <w:bCs/>
        </w:rPr>
        <w:br/>
      </w:r>
      <w:r>
        <w:rPr>
          <w:b/>
          <w:bCs/>
          <w:u w:val="single"/>
        </w:rPr>
        <w:t xml:space="preserve">Хто </w:t>
      </w:r>
      <w:r w:rsidR="00DB7CB2">
        <w:rPr>
          <w:b/>
          <w:bCs/>
          <w:u w:val="single"/>
        </w:rPr>
        <w:t>має право на державну соціальну допомогу</w:t>
      </w:r>
      <w:r>
        <w:rPr>
          <w:b/>
          <w:bCs/>
          <w:smallCaps/>
          <w:u w:val="single"/>
        </w:rPr>
        <w:br/>
      </w:r>
      <w:r>
        <w:rPr>
          <w:b/>
          <w:bCs/>
          <w:u w:val="single"/>
        </w:rPr>
        <w:t>малозабезпеченим сім’ям:</w:t>
      </w:r>
    </w:p>
    <w:p w:rsidR="00A15BF3" w:rsidRDefault="00B3137C">
      <w:pPr>
        <w:pStyle w:val="1"/>
        <w:ind w:firstLine="420"/>
        <w:jc w:val="both"/>
      </w:pPr>
      <w:r>
        <w:t>Право на державну соціальну допомогу мають малозабезпечені сім'ї, які постійно проживають на території України.</w:t>
      </w:r>
    </w:p>
    <w:p w:rsidR="00A15BF3" w:rsidRDefault="00B3137C">
      <w:pPr>
        <w:pStyle w:val="1"/>
        <w:ind w:firstLine="420"/>
        <w:jc w:val="both"/>
      </w:pPr>
      <w:r>
        <w:rPr>
          <w:b/>
          <w:bCs/>
        </w:rPr>
        <w:t>Малозабезпечена сім'</w:t>
      </w:r>
      <w:r>
        <w:rPr>
          <w:b/>
          <w:bCs/>
        </w:rPr>
        <w:t xml:space="preserve">я - </w:t>
      </w:r>
      <w:r>
        <w:t>це сім'я, яка з поважних або незалежних від неї причин має середньомісячний сукупний доход нижчий від встановленого рівня забезпечення прожиткового мінімуму (гарантований мінімум) для сім’ї.</w:t>
      </w:r>
    </w:p>
    <w:p w:rsidR="00A15BF3" w:rsidRDefault="00B3137C">
      <w:pPr>
        <w:pStyle w:val="11"/>
        <w:keepNext/>
        <w:keepLines/>
      </w:pPr>
      <w:bookmarkStart w:id="0" w:name="bookmark0"/>
      <w:r>
        <w:t>Як розраховується розмір допомоги</w:t>
      </w:r>
      <w:bookmarkEnd w:id="0"/>
    </w:p>
    <w:p w:rsidR="00A15BF3" w:rsidRDefault="00B3137C">
      <w:pPr>
        <w:pStyle w:val="1"/>
        <w:ind w:firstLine="420"/>
        <w:jc w:val="both"/>
      </w:pPr>
      <w:r>
        <w:t>Розмір допомоги визначаєтьс</w:t>
      </w:r>
      <w:r>
        <w:t>я як різниця між встановленим рівнем забезпечення прожиткового мінімуму для сім'ї та її середньомісячним сукупним доходом за два квартали, що передують місяцю, який передує місяцю звернення за призначенням державної соціальної допомог</w:t>
      </w:r>
      <w:r w:rsidR="00DB7CB2">
        <w:t>и</w:t>
      </w:r>
      <w:r>
        <w:t>.</w:t>
      </w:r>
    </w:p>
    <w:p w:rsidR="00A15BF3" w:rsidRDefault="00B3137C">
      <w:pPr>
        <w:pStyle w:val="1"/>
        <w:ind w:firstLine="420"/>
        <w:jc w:val="both"/>
      </w:pPr>
      <w:r>
        <w:t>Середньомісячний сук</w:t>
      </w:r>
      <w:r>
        <w:t>упний дохід малозабезпеченої сім’ї - обчислений у середньому за місяць дохід усіх членів малозабезпеченої сім’ї, одержаний ними протягом шести місяців за вказаний вище період. Порядок обчислення середньомісячного сукупного доходу сім’ї (домогосподарства) д</w:t>
      </w:r>
      <w:r>
        <w:t>ля усіх видів державної соціальної допомоги, затверджений постановою Кабінету Міністрів України від 22 липня 2020 р. № 632.</w:t>
      </w:r>
    </w:p>
    <w:p w:rsidR="00A15BF3" w:rsidRDefault="00B3137C">
      <w:pPr>
        <w:pStyle w:val="1"/>
        <w:ind w:firstLine="420"/>
        <w:jc w:val="both"/>
      </w:pPr>
      <w:r>
        <w:t>Максимальний розмір державної соціальної допомоги не може перевищувати розміру прожиткового мінімуму для сім’ї.</w:t>
      </w:r>
    </w:p>
    <w:p w:rsidR="00A15BF3" w:rsidRDefault="00B3137C">
      <w:pPr>
        <w:pStyle w:val="a5"/>
      </w:pPr>
      <w:r>
        <w:t xml:space="preserve">Рівень забезпечення </w:t>
      </w:r>
      <w:r>
        <w:t>прожиткового мінімуму (гарантований мінімум) для призначення допомоги на 2021 рік становить (гри.):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84"/>
        <w:gridCol w:w="1106"/>
        <w:gridCol w:w="1092"/>
        <w:gridCol w:w="1115"/>
      </w:tblGrid>
      <w:tr w:rsidR="00A15BF3">
        <w:tblPrEx>
          <w:tblCellMar>
            <w:top w:w="0" w:type="dxa"/>
            <w:bottom w:w="0" w:type="dxa"/>
          </w:tblCellMar>
        </w:tblPrEx>
        <w:trPr>
          <w:trHeight w:hRule="exact" w:val="311"/>
          <w:jc w:val="center"/>
        </w:trPr>
        <w:tc>
          <w:tcPr>
            <w:tcW w:w="6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15BF3" w:rsidRDefault="00B3137C">
            <w:pPr>
              <w:pStyle w:val="a7"/>
              <w:spacing w:line="240" w:lineRule="auto"/>
              <w:ind w:left="2920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Категорія осіб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15BF3" w:rsidRDefault="00B3137C">
            <w:pPr>
              <w:pStyle w:val="a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січень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15BF3" w:rsidRDefault="00B3137C">
            <w:pPr>
              <w:pStyle w:val="a7"/>
              <w:spacing w:line="240" w:lineRule="auto"/>
              <w:ind w:firstLine="18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липень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15BF3" w:rsidRDefault="00B3137C">
            <w:pPr>
              <w:pStyle w:val="a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грудень</w:t>
            </w:r>
          </w:p>
        </w:tc>
      </w:tr>
      <w:tr w:rsidR="00A15BF3">
        <w:tblPrEx>
          <w:tblCellMar>
            <w:top w:w="0" w:type="dxa"/>
            <w:bottom w:w="0" w:type="dxa"/>
          </w:tblCellMar>
        </w:tblPrEx>
        <w:trPr>
          <w:trHeight w:hRule="exact" w:val="497"/>
          <w:jc w:val="center"/>
        </w:trPr>
        <w:tc>
          <w:tcPr>
            <w:tcW w:w="6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15BF3" w:rsidRDefault="00B3137C">
            <w:pPr>
              <w:pStyle w:val="a7"/>
              <w:spacing w:line="257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для працездатних осіб -</w:t>
            </w:r>
            <w:r>
              <w:rPr>
                <w:sz w:val="20"/>
                <w:szCs w:val="20"/>
              </w:rPr>
              <w:t xml:space="preserve"> 35 % прожиткового мінімуму для працездатних осіб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15BF3" w:rsidRDefault="00B3137C">
            <w:pPr>
              <w:pStyle w:val="a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15BF3" w:rsidRDefault="00B3137C">
            <w:pPr>
              <w:pStyle w:val="a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832,65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15BF3" w:rsidRDefault="00B3137C">
            <w:pPr>
              <w:pStyle w:val="a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868,35</w:t>
            </w:r>
          </w:p>
        </w:tc>
      </w:tr>
      <w:tr w:rsidR="00A15BF3">
        <w:tblPrEx>
          <w:tblCellMar>
            <w:top w:w="0" w:type="dxa"/>
            <w:bottom w:w="0" w:type="dxa"/>
          </w:tblCellMar>
        </w:tblPrEx>
        <w:trPr>
          <w:trHeight w:hRule="exact" w:val="748"/>
          <w:jc w:val="center"/>
        </w:trPr>
        <w:tc>
          <w:tcPr>
            <w:tcW w:w="68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15BF3" w:rsidRDefault="00B3137C">
            <w:pPr>
              <w:pStyle w:val="a7"/>
              <w:spacing w:line="257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для осіб, які втратили </w:t>
            </w:r>
            <w:r>
              <w:rPr>
                <w:b/>
                <w:bCs/>
                <w:i/>
                <w:iCs/>
                <w:sz w:val="20"/>
                <w:szCs w:val="20"/>
              </w:rPr>
              <w:t>працездатність, та осіб з інвалідністю -</w:t>
            </w:r>
            <w:r>
              <w:rPr>
                <w:sz w:val="20"/>
                <w:szCs w:val="20"/>
              </w:rPr>
              <w:t xml:space="preserve"> у розмірі 100% прожиткового мінімуму для осіб які втратили працездатність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15BF3" w:rsidRDefault="00B3137C">
            <w:pPr>
              <w:pStyle w:val="a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15BF3" w:rsidRDefault="00B3137C">
            <w:pPr>
              <w:pStyle w:val="a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15BF3" w:rsidRDefault="00B3137C">
            <w:pPr>
              <w:pStyle w:val="a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</w:t>
            </w:r>
          </w:p>
        </w:tc>
      </w:tr>
      <w:tr w:rsidR="00A15BF3">
        <w:tblPrEx>
          <w:tblCellMar>
            <w:top w:w="0" w:type="dxa"/>
            <w:bottom w:w="0" w:type="dxa"/>
          </w:tblCellMar>
        </w:tblPrEx>
        <w:trPr>
          <w:trHeight w:hRule="exact" w:val="1157"/>
          <w:jc w:val="center"/>
        </w:trPr>
        <w:tc>
          <w:tcPr>
            <w:tcW w:w="6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5BF3" w:rsidRDefault="00B3137C">
            <w:pPr>
              <w:pStyle w:val="a7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для дітей - 130%</w:t>
            </w:r>
            <w:r>
              <w:rPr>
                <w:sz w:val="20"/>
                <w:szCs w:val="20"/>
              </w:rPr>
              <w:t xml:space="preserve"> прожиткового мінімуму для дитини відповідного віку:</w:t>
            </w:r>
          </w:p>
          <w:p w:rsidR="00A15BF3" w:rsidRDefault="00B3137C">
            <w:pPr>
              <w:pStyle w:val="a7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6 років</w:t>
            </w:r>
          </w:p>
          <w:p w:rsidR="00A15BF3" w:rsidRDefault="00B3137C">
            <w:pPr>
              <w:pStyle w:val="a7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6 до 18 років</w:t>
            </w:r>
          </w:p>
          <w:p w:rsidR="00A15BF3" w:rsidRDefault="00B3137C">
            <w:pPr>
              <w:pStyle w:val="a7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 18 до 23 років (за </w:t>
            </w:r>
            <w:r>
              <w:rPr>
                <w:sz w:val="20"/>
                <w:szCs w:val="20"/>
              </w:rPr>
              <w:t>умови навчання за денною формою)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5BF3" w:rsidRDefault="00B3137C">
            <w:pPr>
              <w:pStyle w:val="a7"/>
              <w:spacing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2497,30</w:t>
            </w:r>
          </w:p>
          <w:p w:rsidR="00A15BF3" w:rsidRDefault="00B3137C">
            <w:pPr>
              <w:pStyle w:val="a7"/>
              <w:spacing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3113,50 2951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5BF3" w:rsidRDefault="00B3137C">
            <w:pPr>
              <w:pStyle w:val="a7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2616,90 3263 3092,70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457" w:rsidRDefault="00B3137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2730 </w:t>
            </w:r>
          </w:p>
          <w:p w:rsidR="00A15BF3" w:rsidRDefault="00B3137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3403,40 3225,30</w:t>
            </w:r>
          </w:p>
        </w:tc>
      </w:tr>
    </w:tbl>
    <w:p w:rsidR="00A15BF3" w:rsidRDefault="00B3137C">
      <w:pPr>
        <w:pStyle w:val="11"/>
        <w:keepNext/>
        <w:keepLines/>
      </w:pPr>
      <w:bookmarkStart w:id="1" w:name="bookmark2"/>
      <w:r>
        <w:t>Хто входить до складу малозабезпеченої сім’ї</w:t>
      </w:r>
      <w:bookmarkEnd w:id="1"/>
    </w:p>
    <w:p w:rsidR="00A15BF3" w:rsidRDefault="00B3137C">
      <w:pPr>
        <w:pStyle w:val="1"/>
        <w:ind w:firstLine="420"/>
        <w:jc w:val="both"/>
      </w:pPr>
      <w:r>
        <w:t>До складу сім'ї, що звертається за допомогою, включаються: чоловік, дружина; рідні, усиновлені діти цих осіб віком</w:t>
      </w:r>
      <w:r>
        <w:t xml:space="preserve"> до 18 років, а також діти, які навчаються за денною </w:t>
      </w:r>
      <w:r w:rsidR="00373457">
        <w:t xml:space="preserve">або </w:t>
      </w:r>
      <w:r w:rsidR="00373457" w:rsidRPr="00373457">
        <w:t xml:space="preserve">дуальною </w:t>
      </w:r>
      <w:r>
        <w:t xml:space="preserve">формою навчання до досягнення </w:t>
      </w:r>
      <w:r w:rsidR="00373457">
        <w:t>2</w:t>
      </w:r>
      <w:r>
        <w:t>3-х років і які не мають власних сімей; неодружені повнолітні діти, які визнані особами з інвалідністю з дитинства І та II груп або особами з інвалідністю І групи і прожива</w:t>
      </w:r>
      <w:r>
        <w:t xml:space="preserve">ють разом з батьками; непрацездатні батьки чоловіка та дружини, які проживають разом з ними і перебувають на їх утриманні у зв'язку з відсутністю власних доходів; особа, яка проживає разом з одинокою особою з інвалідністю І групи і здійснює догляд за ним; </w:t>
      </w:r>
      <w:r>
        <w:t>жінка та чоловік, які проживають однією сім'єю, не перебувають у шлюбі, але мають спільних дітей.</w:t>
      </w:r>
    </w:p>
    <w:p w:rsidR="00A15BF3" w:rsidRDefault="00B3137C">
      <w:pPr>
        <w:pStyle w:val="1"/>
        <w:ind w:firstLine="420"/>
        <w:jc w:val="both"/>
      </w:pPr>
      <w:r>
        <w:t>При цьому діти, які навчаються за денною формою до досягнення 23 років і не мають власних сімей, включаються до складу сім’ї незалежно від реєстрації місця пр</w:t>
      </w:r>
      <w:r>
        <w:t>оживання чи місця перебування.</w:t>
      </w:r>
    </w:p>
    <w:p w:rsidR="00A15BF3" w:rsidRDefault="00B3137C">
      <w:pPr>
        <w:pStyle w:val="1"/>
        <w:ind w:firstLine="420"/>
        <w:jc w:val="both"/>
      </w:pPr>
      <w:r>
        <w:t>Особи, які перебувають на повному державному утриманні, до складу сім’ї не включаються. Права члена сім’ї має одинока особа.</w:t>
      </w:r>
    </w:p>
    <w:p w:rsidR="00A15BF3" w:rsidRDefault="00B3137C">
      <w:pPr>
        <w:pStyle w:val="1"/>
        <w:ind w:firstLine="0"/>
        <w:jc w:val="center"/>
      </w:pPr>
      <w:proofErr w:type="spellStart"/>
      <w:r>
        <w:rPr>
          <w:b/>
          <w:bCs/>
          <w:u w:val="single"/>
        </w:rPr>
        <w:t>Докумен</w:t>
      </w:r>
      <w:proofErr w:type="spellEnd"/>
      <w:r>
        <w:rPr>
          <w:b/>
          <w:bCs/>
          <w:u w:val="single"/>
        </w:rPr>
        <w:t xml:space="preserve"> ти, необхідні для призначення соціальної допомоги:</w:t>
      </w:r>
    </w:p>
    <w:p w:rsidR="00A15BF3" w:rsidRDefault="00B3137C">
      <w:pPr>
        <w:pStyle w:val="1"/>
        <w:ind w:firstLine="420"/>
        <w:jc w:val="both"/>
      </w:pPr>
      <w:r>
        <w:t>Для призначення державної соціальної допо</w:t>
      </w:r>
      <w:r>
        <w:t xml:space="preserve">моги уповноважений представник малозабезпеченої сім’ї при пред’явленні паспорта громадянина України подає до територіального управління </w:t>
      </w:r>
      <w:proofErr w:type="spellStart"/>
      <w:r>
        <w:t>соцзахисту</w:t>
      </w:r>
      <w:proofErr w:type="spellEnd"/>
      <w:r>
        <w:t xml:space="preserve"> населення такі документи:</w:t>
      </w:r>
    </w:p>
    <w:p w:rsidR="00A15BF3" w:rsidRDefault="00B3137C">
      <w:pPr>
        <w:pStyle w:val="1"/>
        <w:numPr>
          <w:ilvl w:val="0"/>
          <w:numId w:val="1"/>
        </w:numPr>
        <w:tabs>
          <w:tab w:val="left" w:pos="611"/>
        </w:tabs>
        <w:ind w:firstLine="420"/>
        <w:jc w:val="both"/>
      </w:pPr>
      <w:r>
        <w:t xml:space="preserve">заяву (за встановленою </w:t>
      </w:r>
      <w:proofErr w:type="spellStart"/>
      <w:r>
        <w:t>Мінсоцполітики</w:t>
      </w:r>
      <w:proofErr w:type="spellEnd"/>
      <w:r>
        <w:t xml:space="preserve"> формою);</w:t>
      </w:r>
    </w:p>
    <w:p w:rsidR="00A15BF3" w:rsidRDefault="00B3137C">
      <w:pPr>
        <w:pStyle w:val="1"/>
        <w:numPr>
          <w:ilvl w:val="0"/>
          <w:numId w:val="1"/>
        </w:numPr>
        <w:tabs>
          <w:tab w:val="left" w:pos="474"/>
        </w:tabs>
        <w:ind w:firstLine="420"/>
        <w:jc w:val="both"/>
      </w:pPr>
      <w:r>
        <w:t>декларацію про доходи та майновий ст</w:t>
      </w:r>
      <w:r>
        <w:t xml:space="preserve">ан осіб, які звернулися за призначенням усіх видів соціальної допомоги (за встановленою </w:t>
      </w:r>
      <w:proofErr w:type="spellStart"/>
      <w:r>
        <w:t>Мінсоцполітики</w:t>
      </w:r>
      <w:proofErr w:type="spellEnd"/>
      <w:r>
        <w:t xml:space="preserve"> формою);</w:t>
      </w:r>
    </w:p>
    <w:p w:rsidR="00A15BF3" w:rsidRPr="00373457" w:rsidRDefault="00B3137C">
      <w:pPr>
        <w:pStyle w:val="1"/>
        <w:numPr>
          <w:ilvl w:val="0"/>
          <w:numId w:val="1"/>
        </w:numPr>
        <w:tabs>
          <w:tab w:val="left" w:pos="479"/>
        </w:tabs>
        <w:spacing w:line="262" w:lineRule="auto"/>
        <w:ind w:firstLine="420"/>
        <w:jc w:val="both"/>
      </w:pPr>
      <w:r>
        <w:t>довідку про доходи у разі зазначення в декларації доходів, інформація про які відсутня в ДПС, Пенсійному фонді України, фондах соціального страхування</w:t>
      </w:r>
      <w:r w:rsidR="00373457">
        <w:t>,</w:t>
      </w:r>
      <w:r>
        <w:t xml:space="preserve"> тощо та згідно із законодавством не може бути отримана за запитом органу соціального </w:t>
      </w:r>
      <w:r w:rsidRPr="00373457">
        <w:t>захисту населення. У</w:t>
      </w:r>
      <w:r w:rsidRPr="00373457">
        <w:t xml:space="preserve"> разі неможливості підтвердження таких доходів довідкою до декларації додається письмове </w:t>
      </w:r>
      <w:r w:rsidRPr="00373457">
        <w:t>пояснення і</w:t>
      </w:r>
      <w:r w:rsidR="00373457" w:rsidRPr="00373457">
        <w:t>з зазначенням їх р</w:t>
      </w:r>
      <w:r w:rsidRPr="00373457">
        <w:t>озмі</w:t>
      </w:r>
      <w:r w:rsidR="00373457" w:rsidRPr="00373457">
        <w:t>р</w:t>
      </w:r>
      <w:r w:rsidRPr="00373457">
        <w:t>у</w:t>
      </w:r>
      <w:r w:rsidR="00373457" w:rsidRPr="00373457">
        <w:t>.</w:t>
      </w:r>
    </w:p>
    <w:p w:rsidR="00A15BF3" w:rsidRDefault="00B3137C">
      <w:pPr>
        <w:pStyle w:val="1"/>
        <w:numPr>
          <w:ilvl w:val="0"/>
          <w:numId w:val="1"/>
        </w:numPr>
        <w:tabs>
          <w:tab w:val="left" w:pos="479"/>
        </w:tabs>
        <w:jc w:val="both"/>
      </w:pPr>
      <w:r w:rsidRPr="00373457">
        <w:t>довідку встановленої форми про безпосередню участь особи в антитерористичній операції, у здійсненні заходів із забезпечення націо</w:t>
      </w:r>
      <w:r w:rsidRPr="00373457">
        <w:t>нальної безпеки і оборони, відсічі і стримування</w:t>
      </w:r>
      <w:r>
        <w:t xml:space="preserve"> збройної агресії Російської Федерації у Донецькій та Луганській областях (для учасників АТО/ООС).</w:t>
      </w:r>
    </w:p>
    <w:p w:rsidR="00A15BF3" w:rsidRDefault="00B3137C">
      <w:pPr>
        <w:pStyle w:val="1"/>
        <w:jc w:val="both"/>
      </w:pPr>
      <w:r>
        <w:t>Інформація про склад малозабезпеченої сім’ї зазначається в декларації.</w:t>
      </w:r>
    </w:p>
    <w:p w:rsidR="00A15BF3" w:rsidRDefault="00B3137C">
      <w:pPr>
        <w:pStyle w:val="1"/>
        <w:jc w:val="both"/>
      </w:pPr>
      <w:r>
        <w:lastRenderedPageBreak/>
        <w:t>У сільській місцевості та у разі утвор</w:t>
      </w:r>
      <w:r>
        <w:t>ення об’єднаної територіальної громади документи приймаються уповноваженою особою сільської (селищної) ради, об’єднаної територіальної громади.</w:t>
      </w:r>
    </w:p>
    <w:p w:rsidR="00A15BF3" w:rsidRDefault="00B3137C">
      <w:pPr>
        <w:pStyle w:val="1"/>
        <w:jc w:val="both"/>
      </w:pPr>
      <w:r>
        <w:t>Допомога призначається на шість місяців з місяця звернення.</w:t>
      </w:r>
    </w:p>
    <w:p w:rsidR="00A15BF3" w:rsidRDefault="00B3137C">
      <w:pPr>
        <w:pStyle w:val="1"/>
        <w:ind w:firstLine="0"/>
        <w:jc w:val="center"/>
      </w:pPr>
      <w:r>
        <w:rPr>
          <w:b/>
          <w:bCs/>
          <w:u w:val="single"/>
        </w:rPr>
        <w:t>Державна допомога не призначається, якщо;</w:t>
      </w:r>
    </w:p>
    <w:p w:rsidR="00A15BF3" w:rsidRDefault="00B3137C">
      <w:pPr>
        <w:pStyle w:val="1"/>
        <w:numPr>
          <w:ilvl w:val="0"/>
          <w:numId w:val="2"/>
        </w:numPr>
        <w:tabs>
          <w:tab w:val="left" w:pos="493"/>
        </w:tabs>
      </w:pPr>
      <w:r>
        <w:t xml:space="preserve">У складі </w:t>
      </w:r>
      <w:r>
        <w:t>сім'ї є працездатні особи, які досягли 18-річного віку станом на початок періоду, за який враховуються доходи, та не працювали, не проходили військової служби, не провадили підприємницької чи професійної незалежної діяльності, не навчались за денною формою</w:t>
      </w:r>
      <w:r>
        <w:t>, не зареєстровані в центрі зайнятості як безробітні або як такі, що шукають роботу, сумарно більше ніж три місяці протягом періоду, за який враховуються доходи.</w:t>
      </w:r>
    </w:p>
    <w:p w:rsidR="00A15BF3" w:rsidRDefault="00B3137C">
      <w:pPr>
        <w:pStyle w:val="1"/>
        <w:spacing w:line="276" w:lineRule="auto"/>
        <w:ind w:firstLine="520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Державна соціальна допомога у зазначеному випадку призначається, якщо особи протягом періоду, </w:t>
      </w:r>
      <w:r>
        <w:rPr>
          <w:b/>
          <w:bCs/>
          <w:i/>
          <w:iCs/>
          <w:sz w:val="20"/>
          <w:szCs w:val="20"/>
        </w:rPr>
        <w:t>за який враховуються доходи:</w:t>
      </w:r>
    </w:p>
    <w:p w:rsidR="00A15BF3" w:rsidRDefault="00B3137C" w:rsidP="00373457">
      <w:pPr>
        <w:pStyle w:val="1"/>
        <w:numPr>
          <w:ilvl w:val="0"/>
          <w:numId w:val="3"/>
        </w:numPr>
        <w:tabs>
          <w:tab w:val="left" w:pos="710"/>
        </w:tabs>
        <w:ind w:firstLine="520"/>
        <w:jc w:val="both"/>
      </w:pPr>
      <w:r>
        <w:t xml:space="preserve">сплатили або за них сплачено єдиний внесок на загальнообов’язкове державне соціальне страхування у розмірі, не меншому від мінімального, сумарно протягом трьох місяців або отримували допомогу по частковому безробіттю на період </w:t>
      </w:r>
      <w:r>
        <w:t>карантину;</w:t>
      </w:r>
    </w:p>
    <w:p w:rsidR="00A15BF3" w:rsidRDefault="00B3137C" w:rsidP="00373457">
      <w:pPr>
        <w:pStyle w:val="1"/>
        <w:numPr>
          <w:ilvl w:val="0"/>
          <w:numId w:val="3"/>
        </w:numPr>
        <w:tabs>
          <w:tab w:val="left" w:pos="710"/>
        </w:tabs>
        <w:ind w:firstLine="520"/>
        <w:jc w:val="both"/>
      </w:pPr>
      <w:r>
        <w:t>доглядали за дітьми до досягнення 3-річного віку або за дітьми до досягнення 6 річного віку згідно висновку лікарсько-консультативної комісії, за тяжко хворими дітьми, яким не встановлено інвалідності, за особою з інвалідністю І групи, за особою</w:t>
      </w:r>
      <w:r>
        <w:t xml:space="preserve"> з інвалідністю II групи внаслідок психічного розладу, за дитиною з інвалідністю віком до 18 років, а також за особами, які досягли 80-річного віку; надавали соціальні послуги з догляду відповідно до законодавства.</w:t>
      </w:r>
    </w:p>
    <w:p w:rsidR="00A15BF3" w:rsidRDefault="00B3137C" w:rsidP="00373457">
      <w:pPr>
        <w:pStyle w:val="1"/>
        <w:ind w:firstLine="520"/>
        <w:jc w:val="both"/>
        <w:rPr>
          <w:sz w:val="20"/>
          <w:szCs w:val="20"/>
        </w:rPr>
      </w:pPr>
      <w:r>
        <w:t>Як виняток, за наявності вказаних умов, н</w:t>
      </w:r>
      <w:r>
        <w:t>а обмежений період надано право на призначення допомоги сім’ям: - у складі яких є особа з інвалідністю, яка згідно з висновком лікарсько-консультаційної комісії потребує постійного стороннього догляду або відсутність будь-яких джерел для існування пов'язан</w:t>
      </w:r>
      <w:r>
        <w:t xml:space="preserve">а з тривалою хворобою одного та/або кількох членів сім'ї - </w:t>
      </w:r>
      <w:r>
        <w:rPr>
          <w:b/>
          <w:bCs/>
          <w:i/>
          <w:iCs/>
          <w:sz w:val="20"/>
          <w:szCs w:val="20"/>
        </w:rPr>
        <w:t>допомога призначається не більше ніж на два шестимісячних періоди.</w:t>
      </w:r>
    </w:p>
    <w:p w:rsidR="00A15BF3" w:rsidRDefault="00B3137C" w:rsidP="00373457">
      <w:pPr>
        <w:pStyle w:val="1"/>
        <w:numPr>
          <w:ilvl w:val="0"/>
          <w:numId w:val="4"/>
        </w:numPr>
        <w:tabs>
          <w:tab w:val="left" w:pos="710"/>
        </w:tabs>
        <w:ind w:firstLine="520"/>
        <w:jc w:val="both"/>
      </w:pPr>
      <w:r>
        <w:t>Особи, які входять до складу малозабезпеченої сім’ї, протягом 12 місяців перед зверненням за допомогою здійснили купівлю земельної</w:t>
      </w:r>
      <w:r>
        <w:t xml:space="preserve"> ділянки, квартири (будинку), транспортного засобу (механізму), інших товарів довгострокового вжитку або оплатили послуги на суму, яка перевищує 50 тис. гривень.</w:t>
      </w:r>
    </w:p>
    <w:p w:rsidR="00A15BF3" w:rsidRDefault="00B3137C" w:rsidP="00373457">
      <w:pPr>
        <w:pStyle w:val="1"/>
        <w:numPr>
          <w:ilvl w:val="0"/>
          <w:numId w:val="4"/>
        </w:numPr>
        <w:tabs>
          <w:tab w:val="left" w:pos="710"/>
        </w:tabs>
        <w:ind w:firstLine="520"/>
        <w:jc w:val="both"/>
      </w:pPr>
      <w:r>
        <w:t>У власності малозабезпеченої сім’ї є друга квартира (будинок) крім житла, розташованого на тим</w:t>
      </w:r>
      <w:r>
        <w:t>часово окупованій території, лінії зіткнення та житла непридатного для проживання, що підтверджується актом обстеження технічного стану приміщення</w:t>
      </w:r>
      <w:r w:rsidR="00373457">
        <w:t xml:space="preserve">, </w:t>
      </w:r>
      <w:r w:rsidR="00373457" w:rsidRPr="00373457">
        <w:t>а також житла, отриманого дитиною-сиротою, дитиною, позбавленою батьківського піклування, особою з їх числа за рахунок державного чи місцевого бюджету; житлових приміщень у гуртожитках</w:t>
      </w:r>
      <w:r>
        <w:t>.</w:t>
      </w:r>
    </w:p>
    <w:p w:rsidR="00A15BF3" w:rsidRDefault="00B3137C" w:rsidP="00373457">
      <w:pPr>
        <w:pStyle w:val="1"/>
        <w:numPr>
          <w:ilvl w:val="0"/>
          <w:numId w:val="4"/>
        </w:numPr>
        <w:tabs>
          <w:tab w:val="left" w:pos="710"/>
        </w:tabs>
        <w:ind w:firstLine="520"/>
        <w:jc w:val="both"/>
      </w:pPr>
      <w:r>
        <w:t>У власності малозабезпеченої сім’ї є більше ніж один автомобіль, транспортний засіб, що підлягає державній р</w:t>
      </w:r>
      <w:r>
        <w:t>еєстрації, з дати випуску якого минуло менше ніж 15 років (крім мопеда і причепа).</w:t>
      </w:r>
    </w:p>
    <w:p w:rsidR="00A15BF3" w:rsidRDefault="00B3137C" w:rsidP="00373457">
      <w:pPr>
        <w:pStyle w:val="1"/>
        <w:ind w:firstLine="660"/>
        <w:jc w:val="both"/>
      </w:pPr>
      <w:r>
        <w:rPr>
          <w:b/>
          <w:bCs/>
        </w:rPr>
        <w:t>Важливо! У разі коли непрацююча працездатна особа працевлаштувалась або забезпечила себе роботою самостійно у період отримання допомоги на наступний період враховується лише</w:t>
      </w:r>
      <w:r>
        <w:rPr>
          <w:b/>
          <w:bCs/>
        </w:rPr>
        <w:t xml:space="preserve"> 50% заробітної плати або доходу від підприємницької діяльності. Ця норма застосовується одноразово під час наступного звернення за призначенням державної соціальної допомоги.</w:t>
      </w:r>
    </w:p>
    <w:p w:rsidR="00A15BF3" w:rsidRDefault="00B3137C">
      <w:pPr>
        <w:pStyle w:val="1"/>
        <w:ind w:firstLine="0"/>
        <w:jc w:val="center"/>
      </w:pPr>
      <w:r>
        <w:rPr>
          <w:b/>
          <w:bCs/>
          <w:u w:val="single"/>
        </w:rPr>
        <w:t>Виплата призначеної допомоги припиняється, зокрема, якщо:</w:t>
      </w:r>
    </w:p>
    <w:p w:rsidR="00A15BF3" w:rsidRDefault="00373457" w:rsidP="00373457">
      <w:pPr>
        <w:pStyle w:val="1"/>
        <w:tabs>
          <w:tab w:val="left" w:pos="749"/>
        </w:tabs>
        <w:jc w:val="both"/>
      </w:pPr>
      <w:r>
        <w:t xml:space="preserve">- </w:t>
      </w:r>
      <w:r w:rsidR="00B3137C">
        <w:t xml:space="preserve">подано </w:t>
      </w:r>
      <w:r w:rsidR="00B3137C">
        <w:t>неправдиві/недостовірні відомості, що вплинули або могли вплинути на встановлення права та на визначення розміру допомоги; або встановлено фактичну зайнятість особи, що приносить дохід (винагороду), без оформлення, реєстрації в установленому законодавством</w:t>
      </w:r>
      <w:r w:rsidR="00B3137C">
        <w:t xml:space="preserve"> порядку. В такому разі на наступний строк допомога може бути призначена не раніше ніж через шість місяців починаючи з першого числа місяця, в якому виявлено порушення.</w:t>
      </w:r>
    </w:p>
    <w:p w:rsidR="00A15BF3" w:rsidRDefault="00373457" w:rsidP="00373457">
      <w:pPr>
        <w:pStyle w:val="1"/>
        <w:tabs>
          <w:tab w:val="left" w:pos="795"/>
        </w:tabs>
      </w:pPr>
      <w:r>
        <w:t xml:space="preserve">- </w:t>
      </w:r>
      <w:r w:rsidR="00B3137C">
        <w:t>якщо припинено реєстрацію особи як безробітної (крім працевлаштування самостійно);</w:t>
      </w:r>
    </w:p>
    <w:p w:rsidR="00A15BF3" w:rsidRDefault="00373457" w:rsidP="00373457">
      <w:pPr>
        <w:pStyle w:val="1"/>
        <w:tabs>
          <w:tab w:val="left" w:pos="749"/>
        </w:tabs>
        <w:jc w:val="both"/>
      </w:pPr>
      <w:r>
        <w:t xml:space="preserve">- </w:t>
      </w:r>
      <w:bookmarkStart w:id="2" w:name="_GoBack"/>
      <w:bookmarkEnd w:id="2"/>
      <w:r w:rsidR="00B3137C">
        <w:t>вияв</w:t>
      </w:r>
      <w:r w:rsidR="00B3137C">
        <w:t>лено, що особа фактично не здійснювала догляд за особою, яка досягла 80-річного віку, або не надавала соціальних послуг з догляду відповідно до законодавства у зв’язку з перебуванням за кордоном сукупно більше ніж 60 днів протягом періоду отримання державн</w:t>
      </w:r>
      <w:r w:rsidR="00B3137C">
        <w:t>ої соціальної допомоги.</w:t>
      </w:r>
    </w:p>
    <w:sectPr w:rsidR="00A15BF3">
      <w:pgSz w:w="11900" w:h="16840"/>
      <w:pgMar w:top="409" w:right="414" w:bottom="386" w:left="1291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37C" w:rsidRDefault="00B3137C">
      <w:r>
        <w:separator/>
      </w:r>
    </w:p>
  </w:endnote>
  <w:endnote w:type="continuationSeparator" w:id="0">
    <w:p w:rsidR="00B3137C" w:rsidRDefault="00B31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37C" w:rsidRDefault="00B3137C"/>
  </w:footnote>
  <w:footnote w:type="continuationSeparator" w:id="0">
    <w:p w:rsidR="00B3137C" w:rsidRDefault="00B3137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B01E1"/>
    <w:multiLevelType w:val="multilevel"/>
    <w:tmpl w:val="AC7CA5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050C51"/>
    <w:multiLevelType w:val="multilevel"/>
    <w:tmpl w:val="782EF80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46393D"/>
    <w:multiLevelType w:val="multilevel"/>
    <w:tmpl w:val="36D02B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9503BF"/>
    <w:multiLevelType w:val="multilevel"/>
    <w:tmpl w:val="BBB0CC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C86E4C"/>
    <w:multiLevelType w:val="multilevel"/>
    <w:tmpl w:val="38D224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A15BF3"/>
    <w:rsid w:val="00373457"/>
    <w:rsid w:val="00A15BF3"/>
    <w:rsid w:val="00B3137C"/>
    <w:rsid w:val="00DB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singl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pacing w:line="25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pacing w:line="254" w:lineRule="auto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  <w:u w:val="single"/>
    </w:rPr>
  </w:style>
  <w:style w:type="paragraph" w:customStyle="1" w:styleId="a5">
    <w:name w:val="Подпись к таблице"/>
    <w:basedOn w:val="a"/>
    <w:link w:val="a4"/>
    <w:pPr>
      <w:spacing w:line="262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7">
    <w:name w:val="Другое"/>
    <w:basedOn w:val="a"/>
    <w:link w:val="a6"/>
    <w:pPr>
      <w:spacing w:line="25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singl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pacing w:line="25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pacing w:line="254" w:lineRule="auto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  <w:u w:val="single"/>
    </w:rPr>
  </w:style>
  <w:style w:type="paragraph" w:customStyle="1" w:styleId="a5">
    <w:name w:val="Подпись к таблице"/>
    <w:basedOn w:val="a"/>
    <w:link w:val="a4"/>
    <w:pPr>
      <w:spacing w:line="262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7">
    <w:name w:val="Другое"/>
    <w:basedOn w:val="a"/>
    <w:link w:val="a6"/>
    <w:pPr>
      <w:spacing w:line="25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5259</Words>
  <Characters>2998</Characters>
  <Application>Microsoft Office Word</Application>
  <DocSecurity>0</DocSecurity>
  <Lines>24</Lines>
  <Paragraphs>16</Paragraphs>
  <ScaleCrop>false</ScaleCrop>
  <Company/>
  <LinksUpToDate>false</LinksUpToDate>
  <CharactersWithSpaces>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k104a-1</cp:lastModifiedBy>
  <cp:revision>3</cp:revision>
  <dcterms:created xsi:type="dcterms:W3CDTF">2021-08-05T07:01:00Z</dcterms:created>
  <dcterms:modified xsi:type="dcterms:W3CDTF">2021-08-05T07:27:00Z</dcterms:modified>
</cp:coreProperties>
</file>